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Tou Tong Vang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16095 E. Easter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Aurora, CO 80016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Contact Number: (559)288-5512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TTVANG22@gmail.com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In search of an open position in warehouse labor that is challenging and exciting along with potential growth. Based on my previous experiences that I had learned and developed, will be beneficial and bring success to the company.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Key Skills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Understand the importance of safety (MSDS, OHSA)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Ability to self manage under high pressure whether by myself or teamwork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Intermediate in repairing, rebuilding, overhauling an engine or machine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Excellent in computer practice (Internet, Words, Excel, Outlook)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Understand the used of specialty tools such as pneumatic tools, hand tools, micrometer, multi-meter and etc.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Capable of working efficiently and accurately under high pressure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Good in English reading, writing, and speaking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Intermediate knowledge of arithmetic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Excellent communication skill both in nonverbal and verbal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Being a good listener and put ideas into action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Ability to operate machines and understand preventive maintenance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Employment:</w:t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Spherion Staffing (Boghogsian Raisin Company Seasonal)</w:t>
        <w:tab/>
        <w:tab/>
        <w:tab/>
        <w:t xml:space="preserve">08/2012-12/2012</w:t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ab/>
        <w:t xml:space="preserve">-Fowler, CA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Machine Operator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/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Production under High Speed Machine/ Inspector/ Receiving/ Packaging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GT Global Staffing (Hunter Douglas) </w:t>
        <w:tab/>
        <w:tab/>
        <w:tab/>
        <w:tab/>
        <w:tab/>
        <w:t xml:space="preserve">04/2010-02/2011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ab/>
        <w:tab/>
        <w:t xml:space="preserve">Northglenn, CO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-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Inspector/ Material Handler/ Shipping/Receiving/ Assembly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Ralph Schomp Automotive Express Lube</w:t>
        <w:tab/>
        <w:tab/>
        <w:tab/>
        <w:tab/>
        <w:tab/>
        <w:t xml:space="preserve">05/2009-10/2009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ab/>
        <w:tab/>
        <w:t xml:space="preserve">Littleton, CO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-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Lube Technician/ Customer Services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Education: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</w:t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Fresno City College</w:t>
        <w:tab/>
        <w:tab/>
        <w:tab/>
        <w:tab/>
        <w:tab/>
        <w:tab/>
        <w:t xml:space="preserve">               08/2011- Current</w:t>
        <w:tab/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ab/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Fresno, CA</w:t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Engineering Major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Lincoln College of Technology </w:t>
        <w:tab/>
        <w:tab/>
        <w:tab/>
        <w:t xml:space="preserve">           </w:t>
        <w:tab/>
        <w:t xml:space="preserve">           </w:t>
        <w:tab/>
        <w:tab/>
        <w:t xml:space="preserve">               08/2008- 02/2010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   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 Denver, CO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</w:t>
        <w:tab/>
        <w:tab/>
        <w:t xml:space="preserve">Applied Science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            </w:t>
        <w:tab/>
        <w:t xml:space="preserve">Duncan Polytechnical High School                                             </w:t>
        <w:tab/>
        <w:t xml:space="preserve">            </w:t>
        <w:tab/>
        <w:tab/>
        <w:t xml:space="preserve">08/2004-07/2008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     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Fresno, CA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                        </w:t>
        <w:tab/>
        <w:t xml:space="preserve">High School Diploma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Reference Available Upon Request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