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437" w:rsidRDefault="00875802">
      <w:pPr>
        <w:pStyle w:val="Heading1"/>
        <w:spacing w:after="152"/>
      </w:pPr>
      <w:bookmarkStart w:id="0" w:name="_GoBack"/>
      <w:bookmarkEnd w:id="0"/>
      <w:r>
        <w:t>Todd Jones</w:t>
      </w:r>
    </w:p>
    <w:p w:rsidR="00883437" w:rsidRDefault="00875802">
      <w:pPr>
        <w:spacing w:after="256" w:line="259" w:lineRule="auto"/>
        <w:ind w:left="4" w:firstLine="0"/>
        <w:jc w:val="center"/>
      </w:pPr>
      <w:r>
        <w:rPr>
          <w:noProof/>
          <w:sz w:val="22"/>
        </w:rPr>
        <mc:AlternateContent>
          <mc:Choice Requires="wpg">
            <w:drawing>
              <wp:anchor distT="0" distB="0" distL="114300" distR="114300" simplePos="0" relativeHeight="251658240" behindDoc="1" locked="0" layoutInCell="1" allowOverlap="1">
                <wp:simplePos x="0" y="0"/>
                <wp:positionH relativeFrom="column">
                  <wp:posOffset>-1269</wp:posOffset>
                </wp:positionH>
                <wp:positionV relativeFrom="paragraph">
                  <wp:posOffset>12099</wp:posOffset>
                </wp:positionV>
                <wp:extent cx="5943600" cy="154940"/>
                <wp:effectExtent l="0" t="0" r="0" b="0"/>
                <wp:wrapNone/>
                <wp:docPr id="2376" name="Group 2376"/>
                <wp:cNvGraphicFramePr/>
                <a:graphic xmlns:a="http://schemas.openxmlformats.org/drawingml/2006/main">
                  <a:graphicData uri="http://schemas.microsoft.com/office/word/2010/wordprocessingGroup">
                    <wpg:wgp>
                      <wpg:cNvGrpSpPr/>
                      <wpg:grpSpPr>
                        <a:xfrm>
                          <a:off x="0" y="0"/>
                          <a:ext cx="5943600" cy="154940"/>
                          <a:chOff x="0" y="0"/>
                          <a:chExt cx="5943600" cy="154940"/>
                        </a:xfrm>
                      </wpg:grpSpPr>
                      <wps:wsp>
                        <wps:cNvPr id="102" name="Shape 102"/>
                        <wps:cNvSpPr/>
                        <wps:spPr>
                          <a:xfrm>
                            <a:off x="0" y="129540"/>
                            <a:ext cx="5943600" cy="25400"/>
                          </a:xfrm>
                          <a:custGeom>
                            <a:avLst/>
                            <a:gdLst/>
                            <a:ahLst/>
                            <a:cxnLst/>
                            <a:rect l="0" t="0" r="0" b="0"/>
                            <a:pathLst>
                              <a:path w="5943600" h="25400">
                                <a:moveTo>
                                  <a:pt x="0" y="0"/>
                                </a:moveTo>
                                <a:lnTo>
                                  <a:pt x="5943600" y="0"/>
                                </a:lnTo>
                                <a:lnTo>
                                  <a:pt x="5943600" y="25400"/>
                                </a:lnTo>
                                <a:lnTo>
                                  <a:pt x="2971800"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772410" y="8890"/>
                            <a:ext cx="266700" cy="96520"/>
                          </a:xfrm>
                          <a:custGeom>
                            <a:avLst/>
                            <a:gdLst/>
                            <a:ahLst/>
                            <a:cxnLst/>
                            <a:rect l="0" t="0" r="0" b="0"/>
                            <a:pathLst>
                              <a:path w="266700" h="96520">
                                <a:moveTo>
                                  <a:pt x="0" y="48260"/>
                                </a:moveTo>
                                <a:lnTo>
                                  <a:pt x="109220" y="39370"/>
                                </a:lnTo>
                                <a:lnTo>
                                  <a:pt x="133350" y="0"/>
                                </a:lnTo>
                                <a:lnTo>
                                  <a:pt x="156210" y="39370"/>
                                </a:lnTo>
                                <a:lnTo>
                                  <a:pt x="266700" y="48260"/>
                                </a:lnTo>
                                <a:lnTo>
                                  <a:pt x="156210" y="55880"/>
                                </a:lnTo>
                                <a:lnTo>
                                  <a:pt x="133350" y="96520"/>
                                </a:lnTo>
                                <a:lnTo>
                                  <a:pt x="109220" y="55880"/>
                                </a:lnTo>
                                <a:lnTo>
                                  <a:pt x="0" y="48260"/>
                                </a:lnTo>
                                <a:lnTo>
                                  <a:pt x="0" y="48260"/>
                                </a:lnTo>
                                <a:close/>
                              </a:path>
                            </a:pathLst>
                          </a:custGeom>
                          <a:ln w="9525" cap="sq">
                            <a:miter lim="100000"/>
                          </a:ln>
                        </wps:spPr>
                        <wps:style>
                          <a:lnRef idx="1">
                            <a:srgbClr val="000000"/>
                          </a:lnRef>
                          <a:fillRef idx="0">
                            <a:srgbClr val="000000">
                              <a:alpha val="0"/>
                            </a:srgbClr>
                          </a:fillRef>
                          <a:effectRef idx="0">
                            <a:scrgbClr r="0" g="0" b="0"/>
                          </a:effectRef>
                          <a:fontRef idx="none"/>
                        </wps:style>
                        <wps:bodyPr/>
                      </wps:wsp>
                      <wps:wsp>
                        <wps:cNvPr id="107" name="Shape 107"/>
                        <wps:cNvSpPr/>
                        <wps:spPr>
                          <a:xfrm>
                            <a:off x="2772410" y="8890"/>
                            <a:ext cx="0" cy="0"/>
                          </a:xfrm>
                          <a:custGeom>
                            <a:avLst/>
                            <a:gdLst/>
                            <a:ahLst/>
                            <a:cxnLst/>
                            <a:rect l="0" t="0" r="0" b="0"/>
                            <a:pathLst>
                              <a:path>
                                <a:moveTo>
                                  <a:pt x="0" y="0"/>
                                </a:moveTo>
                                <a:lnTo>
                                  <a:pt x="0" y="0"/>
                                </a:lnTo>
                                <a:close/>
                              </a:path>
                            </a:pathLst>
                          </a:custGeom>
                          <a:ln w="9525" cap="sq">
                            <a:miter lim="100000"/>
                          </a:ln>
                        </wps:spPr>
                        <wps:style>
                          <a:lnRef idx="1">
                            <a:srgbClr val="000000"/>
                          </a:lnRef>
                          <a:fillRef idx="0">
                            <a:srgbClr val="000000">
                              <a:alpha val="0"/>
                            </a:srgbClr>
                          </a:fillRef>
                          <a:effectRef idx="0">
                            <a:scrgbClr r="0" g="0" b="0"/>
                          </a:effectRef>
                          <a:fontRef idx="none"/>
                        </wps:style>
                        <wps:bodyPr/>
                      </wps:wsp>
                      <wps:wsp>
                        <wps:cNvPr id="112" name="Shape 112"/>
                        <wps:cNvSpPr/>
                        <wps:spPr>
                          <a:xfrm>
                            <a:off x="3905250" y="0"/>
                            <a:ext cx="266700" cy="95250"/>
                          </a:xfrm>
                          <a:custGeom>
                            <a:avLst/>
                            <a:gdLst/>
                            <a:ahLst/>
                            <a:cxnLst/>
                            <a:rect l="0" t="0" r="0" b="0"/>
                            <a:pathLst>
                              <a:path w="266700" h="95250">
                                <a:moveTo>
                                  <a:pt x="0" y="46990"/>
                                </a:moveTo>
                                <a:lnTo>
                                  <a:pt x="110490" y="39370"/>
                                </a:lnTo>
                                <a:lnTo>
                                  <a:pt x="133350" y="0"/>
                                </a:lnTo>
                                <a:lnTo>
                                  <a:pt x="157480" y="39370"/>
                                </a:lnTo>
                                <a:lnTo>
                                  <a:pt x="266700" y="46990"/>
                                </a:lnTo>
                                <a:lnTo>
                                  <a:pt x="157480" y="55880"/>
                                </a:lnTo>
                                <a:lnTo>
                                  <a:pt x="133350" y="95250"/>
                                </a:lnTo>
                                <a:lnTo>
                                  <a:pt x="110490" y="55880"/>
                                </a:lnTo>
                                <a:lnTo>
                                  <a:pt x="0" y="46990"/>
                                </a:lnTo>
                                <a:lnTo>
                                  <a:pt x="0" y="46990"/>
                                </a:lnTo>
                                <a:close/>
                              </a:path>
                            </a:pathLst>
                          </a:custGeom>
                          <a:ln w="9525" cap="sq">
                            <a:miter lim="100000"/>
                          </a:ln>
                        </wps:spPr>
                        <wps:style>
                          <a:lnRef idx="1">
                            <a:srgbClr val="000000"/>
                          </a:lnRef>
                          <a:fillRef idx="0">
                            <a:srgbClr val="000000">
                              <a:alpha val="0"/>
                            </a:srgbClr>
                          </a:fillRef>
                          <a:effectRef idx="0">
                            <a:scrgbClr r="0" g="0" b="0"/>
                          </a:effectRef>
                          <a:fontRef idx="none"/>
                        </wps:style>
                        <wps:bodyPr/>
                      </wps:wsp>
                      <wps:wsp>
                        <wps:cNvPr id="113" name="Shape 113"/>
                        <wps:cNvSpPr/>
                        <wps:spPr>
                          <a:xfrm>
                            <a:off x="3905250" y="0"/>
                            <a:ext cx="0" cy="0"/>
                          </a:xfrm>
                          <a:custGeom>
                            <a:avLst/>
                            <a:gdLst/>
                            <a:ahLst/>
                            <a:cxnLst/>
                            <a:rect l="0" t="0" r="0" b="0"/>
                            <a:pathLst>
                              <a:path>
                                <a:moveTo>
                                  <a:pt x="0" y="0"/>
                                </a:moveTo>
                                <a:lnTo>
                                  <a:pt x="0" y="0"/>
                                </a:lnTo>
                                <a:close/>
                              </a:path>
                            </a:pathLst>
                          </a:custGeom>
                          <a:ln w="9525" cap="sq">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76" style="width:468pt;height:12.2pt;position:absolute;z-index:-2147483547;mso-position-horizontal-relative:text;mso-position-horizontal:absolute;margin-left:-0.0999985pt;mso-position-vertical-relative:text;margin-top:0.952698pt;" coordsize="59436,1549">
                <v:shape id="Shape 102" style="position:absolute;width:59436;height:254;left:0;top:1295;" coordsize="5943600,25400" path="m0,0l5943600,0l5943600,25400l2971800,25400l0,25400l0,0x">
                  <v:stroke weight="0pt" endcap="flat" joinstyle="miter" miterlimit="10" on="false" color="#000000" opacity="0"/>
                  <v:fill on="true" color="#000000"/>
                </v:shape>
                <v:shape id="Shape 106" style="position:absolute;width:2667;height:965;left:27724;top:88;" coordsize="266700,96520" path="m0,48260l109220,39370l133350,0l156210,39370l266700,48260l156210,55880l133350,96520l109220,55880l0,48260l0,48260x">
                  <v:stroke weight="0.75pt" endcap="square" joinstyle="miter" miterlimit="7" on="true" color="#000000"/>
                  <v:fill on="false" color="#000000" opacity="0"/>
                </v:shape>
                <v:shape id="Shape 107" style="position:absolute;width:0;height:0;left:27724;top:88;" coordsize="0,0" path="m0,0l0,0x">
                  <v:stroke weight="0.75pt" endcap="square" joinstyle="miter" miterlimit="7" on="true" color="#000000"/>
                  <v:fill on="false" color="#000000" opacity="0"/>
                </v:shape>
                <v:shape id="Shape 112" style="position:absolute;width:2667;height:952;left:39052;top:0;" coordsize="266700,95250" path="m0,46990l110490,39370l133350,0l157480,39370l266700,46990l157480,55880l133350,95250l110490,55880l0,46990l0,46990x">
                  <v:stroke weight="0.75pt" endcap="square" joinstyle="miter" miterlimit="7" on="true" color="#000000"/>
                  <v:fill on="false" color="#000000" opacity="0"/>
                </v:shape>
                <v:shape id="Shape 113" style="position:absolute;width:0;height:0;left:39052;top:0;" coordsize="0,0" path="m0,0l0,0x">
                  <v:stroke weight="0.75pt" endcap="square" joinstyle="miter" miterlimit="7" on="true" color="#000000"/>
                  <v:fill on="false" color="#000000" opacity="0"/>
                </v:shape>
              </v:group>
            </w:pict>
          </mc:Fallback>
        </mc:AlternateContent>
      </w:r>
      <w:r>
        <w:rPr>
          <w:sz w:val="20"/>
        </w:rPr>
        <w:t xml:space="preserve">7104 S, </w:t>
      </w:r>
      <w:proofErr w:type="spellStart"/>
      <w:r>
        <w:rPr>
          <w:sz w:val="20"/>
        </w:rPr>
        <w:t>Acuma</w:t>
      </w:r>
      <w:proofErr w:type="spellEnd"/>
      <w:r>
        <w:rPr>
          <w:sz w:val="20"/>
        </w:rPr>
        <w:t xml:space="preserve"> Way, Littleton, CO 80120         763-567-8365         tjones1755@gmail.com</w:t>
      </w:r>
    </w:p>
    <w:p w:rsidR="00883437" w:rsidRDefault="00875802">
      <w:pPr>
        <w:spacing w:after="172" w:line="259" w:lineRule="auto"/>
        <w:ind w:left="9" w:firstLine="0"/>
        <w:jc w:val="center"/>
      </w:pPr>
      <w:r>
        <w:rPr>
          <w:b/>
          <w:sz w:val="24"/>
          <w:u w:val="single" w:color="000000"/>
        </w:rPr>
        <w:t>Supply Chain Management Professional</w:t>
      </w:r>
    </w:p>
    <w:p w:rsidR="00883437" w:rsidRDefault="00875802">
      <w:pPr>
        <w:spacing w:after="0" w:line="226" w:lineRule="auto"/>
        <w:ind w:left="0" w:firstLine="0"/>
      </w:pPr>
      <w:r>
        <w:rPr>
          <w:sz w:val="22"/>
        </w:rPr>
        <w:t>Successful supply chain professional with extensive global experience in strategic sourcing, supplier quality and development, planning, materials management, and logistics.</w:t>
      </w:r>
      <w:r>
        <w:rPr>
          <w:b/>
          <w:i/>
          <w:sz w:val="22"/>
        </w:rPr>
        <w:t xml:space="preserve"> </w:t>
      </w:r>
      <w:r>
        <w:rPr>
          <w:sz w:val="22"/>
        </w:rPr>
        <w:t xml:space="preserve"> A proven track record of significant achievements including reducing costs, impro</w:t>
      </w:r>
      <w:r>
        <w:rPr>
          <w:sz w:val="22"/>
        </w:rPr>
        <w:t>ving profits, and developing and improving purchasing and supplier quality programs to meet corporate objectives.</w:t>
      </w:r>
    </w:p>
    <w:p w:rsidR="00883437" w:rsidRDefault="00875802">
      <w:pPr>
        <w:spacing w:after="221" w:line="259" w:lineRule="auto"/>
        <w:ind w:left="-2" w:right="-12" w:firstLine="0"/>
      </w:pPr>
      <w:r>
        <w:rPr>
          <w:noProof/>
          <w:sz w:val="22"/>
        </w:rPr>
        <mc:AlternateContent>
          <mc:Choice Requires="wpg">
            <w:drawing>
              <wp:inline distT="0" distB="0" distL="0" distR="0">
                <wp:extent cx="5943600" cy="25400"/>
                <wp:effectExtent l="0" t="0" r="0" b="0"/>
                <wp:docPr id="2375" name="Group 2375"/>
                <wp:cNvGraphicFramePr/>
                <a:graphic xmlns:a="http://schemas.openxmlformats.org/drawingml/2006/main">
                  <a:graphicData uri="http://schemas.microsoft.com/office/word/2010/wordprocessingGroup">
                    <wpg:wgp>
                      <wpg:cNvGrpSpPr/>
                      <wpg:grpSpPr>
                        <a:xfrm>
                          <a:off x="0" y="0"/>
                          <a:ext cx="5943600" cy="25400"/>
                          <a:chOff x="0" y="0"/>
                          <a:chExt cx="5943600" cy="25400"/>
                        </a:xfrm>
                      </wpg:grpSpPr>
                      <wps:wsp>
                        <wps:cNvPr id="101" name="Shape 101"/>
                        <wps:cNvSpPr/>
                        <wps:spPr>
                          <a:xfrm>
                            <a:off x="0" y="0"/>
                            <a:ext cx="5943600" cy="25400"/>
                          </a:xfrm>
                          <a:custGeom>
                            <a:avLst/>
                            <a:gdLst/>
                            <a:ahLst/>
                            <a:cxnLst/>
                            <a:rect l="0" t="0" r="0" b="0"/>
                            <a:pathLst>
                              <a:path w="5943600" h="25400">
                                <a:moveTo>
                                  <a:pt x="0" y="0"/>
                                </a:moveTo>
                                <a:lnTo>
                                  <a:pt x="5943600" y="0"/>
                                </a:lnTo>
                                <a:lnTo>
                                  <a:pt x="5943600" y="25400"/>
                                </a:lnTo>
                                <a:lnTo>
                                  <a:pt x="2971800"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75" style="width:468pt;height:2pt;mso-position-horizontal-relative:char;mso-position-vertical-relative:line" coordsize="59436,254">
                <v:shape id="Shape 101" style="position:absolute;width:59436;height:254;left:0;top:0;" coordsize="5943600,25400" path="m0,0l5943600,0l5943600,25400l2971800,25400l0,25400l0,0x">
                  <v:stroke weight="0pt" endcap="flat" joinstyle="miter" miterlimit="10" on="false" color="#000000" opacity="0"/>
                  <v:fill on="true" color="#000000"/>
                </v:shape>
              </v:group>
            </w:pict>
          </mc:Fallback>
        </mc:AlternateContent>
      </w:r>
    </w:p>
    <w:tbl>
      <w:tblPr>
        <w:tblStyle w:val="TableGrid"/>
        <w:tblW w:w="10789" w:type="dxa"/>
        <w:tblInd w:w="-720" w:type="dxa"/>
        <w:tblCellMar>
          <w:top w:w="0" w:type="dxa"/>
          <w:left w:w="0" w:type="dxa"/>
          <w:bottom w:w="0" w:type="dxa"/>
          <w:right w:w="0" w:type="dxa"/>
        </w:tblCellMar>
        <w:tblLook w:val="04A0" w:firstRow="1" w:lastRow="0" w:firstColumn="1" w:lastColumn="0" w:noHBand="0" w:noVBand="1"/>
      </w:tblPr>
      <w:tblGrid>
        <w:gridCol w:w="3840"/>
        <w:gridCol w:w="3840"/>
        <w:gridCol w:w="3109"/>
      </w:tblGrid>
      <w:tr w:rsidR="00883437">
        <w:trPr>
          <w:trHeight w:val="409"/>
        </w:trPr>
        <w:tc>
          <w:tcPr>
            <w:tcW w:w="3840" w:type="dxa"/>
            <w:tcBorders>
              <w:top w:val="nil"/>
              <w:left w:val="nil"/>
              <w:bottom w:val="nil"/>
              <w:right w:val="nil"/>
            </w:tcBorders>
          </w:tcPr>
          <w:p w:rsidR="00883437" w:rsidRDefault="00883437">
            <w:pPr>
              <w:spacing w:after="160" w:line="259" w:lineRule="auto"/>
              <w:ind w:left="0" w:firstLine="0"/>
            </w:pPr>
          </w:p>
        </w:tc>
        <w:tc>
          <w:tcPr>
            <w:tcW w:w="3840" w:type="dxa"/>
            <w:tcBorders>
              <w:top w:val="nil"/>
              <w:left w:val="nil"/>
              <w:bottom w:val="nil"/>
              <w:right w:val="nil"/>
            </w:tcBorders>
          </w:tcPr>
          <w:p w:rsidR="00883437" w:rsidRDefault="00875802">
            <w:pPr>
              <w:spacing w:after="0" w:line="259" w:lineRule="auto"/>
              <w:ind w:left="434" w:firstLine="0"/>
            </w:pPr>
            <w:r>
              <w:rPr>
                <w:b/>
                <w:sz w:val="24"/>
                <w:u w:val="single" w:color="000000"/>
              </w:rPr>
              <w:t>Core Competencies</w:t>
            </w:r>
          </w:p>
        </w:tc>
        <w:tc>
          <w:tcPr>
            <w:tcW w:w="3109" w:type="dxa"/>
            <w:tcBorders>
              <w:top w:val="nil"/>
              <w:left w:val="nil"/>
              <w:bottom w:val="nil"/>
              <w:right w:val="nil"/>
            </w:tcBorders>
          </w:tcPr>
          <w:p w:rsidR="00883437" w:rsidRDefault="00883437">
            <w:pPr>
              <w:spacing w:after="160" w:line="259" w:lineRule="auto"/>
              <w:ind w:left="0" w:firstLine="0"/>
            </w:pPr>
          </w:p>
        </w:tc>
      </w:tr>
      <w:tr w:rsidR="00883437">
        <w:trPr>
          <w:trHeight w:val="368"/>
        </w:trPr>
        <w:tc>
          <w:tcPr>
            <w:tcW w:w="3840" w:type="dxa"/>
            <w:tcBorders>
              <w:top w:val="nil"/>
              <w:left w:val="nil"/>
              <w:bottom w:val="nil"/>
              <w:right w:val="nil"/>
            </w:tcBorders>
            <w:vAlign w:val="bottom"/>
          </w:tcPr>
          <w:p w:rsidR="00883437" w:rsidRDefault="00875802">
            <w:pPr>
              <w:spacing w:after="0" w:line="259" w:lineRule="auto"/>
              <w:ind w:left="0" w:firstLine="0"/>
            </w:pPr>
            <w:r>
              <w:rPr>
                <w:sz w:val="20"/>
              </w:rPr>
              <w:t xml:space="preserve">       Strategic Sourcing</w:t>
            </w:r>
          </w:p>
        </w:tc>
        <w:tc>
          <w:tcPr>
            <w:tcW w:w="3840" w:type="dxa"/>
            <w:tcBorders>
              <w:top w:val="nil"/>
              <w:left w:val="nil"/>
              <w:bottom w:val="nil"/>
              <w:right w:val="nil"/>
            </w:tcBorders>
            <w:vAlign w:val="bottom"/>
          </w:tcPr>
          <w:p w:rsidR="00883437" w:rsidRDefault="00875802">
            <w:pPr>
              <w:spacing w:after="0" w:line="259" w:lineRule="auto"/>
              <w:ind w:left="0" w:firstLine="0"/>
            </w:pPr>
            <w:r>
              <w:rPr>
                <w:sz w:val="20"/>
              </w:rPr>
              <w:t xml:space="preserve">       Contract Negotiation</w:t>
            </w:r>
          </w:p>
        </w:tc>
        <w:tc>
          <w:tcPr>
            <w:tcW w:w="3109" w:type="dxa"/>
            <w:tcBorders>
              <w:top w:val="nil"/>
              <w:left w:val="nil"/>
              <w:bottom w:val="nil"/>
              <w:right w:val="nil"/>
            </w:tcBorders>
            <w:vAlign w:val="bottom"/>
          </w:tcPr>
          <w:p w:rsidR="00883437" w:rsidRDefault="00875802">
            <w:pPr>
              <w:spacing w:after="0" w:line="259" w:lineRule="auto"/>
              <w:ind w:left="0" w:firstLine="0"/>
            </w:pPr>
            <w:r>
              <w:rPr>
                <w:sz w:val="20"/>
              </w:rPr>
              <w:t xml:space="preserve">   Vendor Management</w:t>
            </w:r>
          </w:p>
        </w:tc>
      </w:tr>
      <w:tr w:rsidR="00883437">
        <w:trPr>
          <w:trHeight w:val="917"/>
        </w:trPr>
        <w:tc>
          <w:tcPr>
            <w:tcW w:w="3840" w:type="dxa"/>
            <w:tcBorders>
              <w:top w:val="nil"/>
              <w:left w:val="nil"/>
              <w:bottom w:val="nil"/>
              <w:right w:val="nil"/>
            </w:tcBorders>
          </w:tcPr>
          <w:p w:rsidR="00883437" w:rsidRDefault="00875802">
            <w:pPr>
              <w:spacing w:after="0" w:line="259" w:lineRule="auto"/>
              <w:ind w:left="0" w:firstLine="0"/>
            </w:pPr>
            <w:r>
              <w:rPr>
                <w:sz w:val="20"/>
              </w:rPr>
              <w:t xml:space="preserve">       Project Management</w:t>
            </w:r>
          </w:p>
          <w:p w:rsidR="00883437" w:rsidRDefault="00875802">
            <w:pPr>
              <w:spacing w:after="0" w:line="259" w:lineRule="auto"/>
              <w:ind w:left="0" w:firstLine="0"/>
            </w:pPr>
            <w:r>
              <w:rPr>
                <w:sz w:val="20"/>
              </w:rPr>
              <w:t xml:space="preserve">       </w:t>
            </w:r>
            <w:r>
              <w:rPr>
                <w:sz w:val="20"/>
              </w:rPr>
              <w:t xml:space="preserve">Change Management </w:t>
            </w:r>
          </w:p>
          <w:p w:rsidR="00883437" w:rsidRDefault="00875802">
            <w:pPr>
              <w:spacing w:after="0" w:line="259" w:lineRule="auto"/>
              <w:ind w:left="0" w:firstLine="0"/>
            </w:pPr>
            <w:r>
              <w:rPr>
                <w:sz w:val="20"/>
              </w:rPr>
              <w:t xml:space="preserve">       Leadership &amp; Team Building</w:t>
            </w:r>
          </w:p>
          <w:p w:rsidR="00883437" w:rsidRDefault="00875802">
            <w:pPr>
              <w:spacing w:after="0" w:line="259" w:lineRule="auto"/>
              <w:ind w:left="0" w:firstLine="0"/>
            </w:pPr>
            <w:r>
              <w:rPr>
                <w:sz w:val="20"/>
              </w:rPr>
              <w:t xml:space="preserve">       Risk Assessment</w:t>
            </w:r>
          </w:p>
        </w:tc>
        <w:tc>
          <w:tcPr>
            <w:tcW w:w="3840" w:type="dxa"/>
            <w:tcBorders>
              <w:top w:val="nil"/>
              <w:left w:val="nil"/>
              <w:bottom w:val="nil"/>
              <w:right w:val="nil"/>
            </w:tcBorders>
          </w:tcPr>
          <w:p w:rsidR="00883437" w:rsidRDefault="00875802">
            <w:pPr>
              <w:spacing w:after="0" w:line="259" w:lineRule="auto"/>
              <w:ind w:left="0" w:firstLine="0"/>
            </w:pPr>
            <w:r>
              <w:rPr>
                <w:sz w:val="20"/>
              </w:rPr>
              <w:t xml:space="preserve">       Supplier Quality</w:t>
            </w:r>
          </w:p>
          <w:p w:rsidR="00883437" w:rsidRDefault="00875802">
            <w:pPr>
              <w:spacing w:after="0" w:line="259" w:lineRule="auto"/>
              <w:ind w:left="0" w:firstLine="0"/>
            </w:pPr>
            <w:r>
              <w:rPr>
                <w:sz w:val="20"/>
              </w:rPr>
              <w:t xml:space="preserve">       Materials Management</w:t>
            </w:r>
          </w:p>
          <w:p w:rsidR="00883437" w:rsidRDefault="00875802">
            <w:pPr>
              <w:spacing w:after="0" w:line="259" w:lineRule="auto"/>
              <w:ind w:left="0" w:firstLine="0"/>
            </w:pPr>
            <w:r>
              <w:rPr>
                <w:sz w:val="20"/>
              </w:rPr>
              <w:t xml:space="preserve">       Lean Methodologies</w:t>
            </w:r>
          </w:p>
          <w:p w:rsidR="00883437" w:rsidRDefault="00875802">
            <w:pPr>
              <w:spacing w:after="0" w:line="259" w:lineRule="auto"/>
              <w:ind w:left="0" w:firstLine="0"/>
            </w:pPr>
            <w:r>
              <w:rPr>
                <w:sz w:val="20"/>
              </w:rPr>
              <w:t xml:space="preserve">       Continuous Improvement</w:t>
            </w:r>
          </w:p>
        </w:tc>
        <w:tc>
          <w:tcPr>
            <w:tcW w:w="3109" w:type="dxa"/>
            <w:tcBorders>
              <w:top w:val="nil"/>
              <w:left w:val="nil"/>
              <w:bottom w:val="nil"/>
              <w:right w:val="nil"/>
            </w:tcBorders>
          </w:tcPr>
          <w:p w:rsidR="00883437" w:rsidRDefault="00875802">
            <w:pPr>
              <w:spacing w:after="0" w:line="259" w:lineRule="auto"/>
              <w:ind w:left="0" w:firstLine="0"/>
            </w:pPr>
            <w:r>
              <w:rPr>
                <w:sz w:val="20"/>
              </w:rPr>
              <w:t xml:space="preserve">   Six Sigma/Green Belt Certified</w:t>
            </w:r>
          </w:p>
          <w:p w:rsidR="00883437" w:rsidRDefault="00875802">
            <w:pPr>
              <w:spacing w:after="0" w:line="259" w:lineRule="auto"/>
              <w:ind w:left="0" w:firstLine="0"/>
            </w:pPr>
            <w:r>
              <w:rPr>
                <w:sz w:val="20"/>
              </w:rPr>
              <w:t xml:space="preserve">   Supplier Development</w:t>
            </w:r>
          </w:p>
          <w:p w:rsidR="00883437" w:rsidRDefault="00875802">
            <w:pPr>
              <w:spacing w:after="0" w:line="259" w:lineRule="auto"/>
              <w:ind w:left="0" w:firstLine="0"/>
              <w:jc w:val="both"/>
            </w:pPr>
            <w:r>
              <w:rPr>
                <w:sz w:val="20"/>
              </w:rPr>
              <w:t xml:space="preserve">   Cross Funct</w:t>
            </w:r>
            <w:r>
              <w:rPr>
                <w:sz w:val="20"/>
              </w:rPr>
              <w:t>ional Communication</w:t>
            </w:r>
          </w:p>
          <w:p w:rsidR="00883437" w:rsidRDefault="00875802">
            <w:pPr>
              <w:spacing w:after="0" w:line="259" w:lineRule="auto"/>
              <w:ind w:left="0" w:firstLine="0"/>
            </w:pPr>
            <w:r>
              <w:rPr>
                <w:sz w:val="20"/>
              </w:rPr>
              <w:t xml:space="preserve">   Global Sourcing</w:t>
            </w:r>
          </w:p>
        </w:tc>
      </w:tr>
    </w:tbl>
    <w:p w:rsidR="00883437" w:rsidRDefault="00875802">
      <w:pPr>
        <w:spacing w:after="451" w:line="259" w:lineRule="auto"/>
        <w:ind w:left="-2" w:right="-12" w:firstLine="0"/>
      </w:pPr>
      <w:r>
        <w:rPr>
          <w:noProof/>
          <w:sz w:val="22"/>
        </w:rPr>
        <mc:AlternateContent>
          <mc:Choice Requires="wpg">
            <w:drawing>
              <wp:inline distT="0" distB="0" distL="0" distR="0">
                <wp:extent cx="5943600" cy="25400"/>
                <wp:effectExtent l="0" t="0" r="0" b="0"/>
                <wp:docPr id="2374" name="Group 2374"/>
                <wp:cNvGraphicFramePr/>
                <a:graphic xmlns:a="http://schemas.openxmlformats.org/drawingml/2006/main">
                  <a:graphicData uri="http://schemas.microsoft.com/office/word/2010/wordprocessingGroup">
                    <wpg:wgp>
                      <wpg:cNvGrpSpPr/>
                      <wpg:grpSpPr>
                        <a:xfrm>
                          <a:off x="0" y="0"/>
                          <a:ext cx="5943600" cy="25400"/>
                          <a:chOff x="0" y="0"/>
                          <a:chExt cx="5943600" cy="25400"/>
                        </a:xfrm>
                      </wpg:grpSpPr>
                      <wps:wsp>
                        <wps:cNvPr id="100" name="Shape 100"/>
                        <wps:cNvSpPr/>
                        <wps:spPr>
                          <a:xfrm>
                            <a:off x="0" y="0"/>
                            <a:ext cx="5943600" cy="25400"/>
                          </a:xfrm>
                          <a:custGeom>
                            <a:avLst/>
                            <a:gdLst/>
                            <a:ahLst/>
                            <a:cxnLst/>
                            <a:rect l="0" t="0" r="0" b="0"/>
                            <a:pathLst>
                              <a:path w="5943600" h="25400">
                                <a:moveTo>
                                  <a:pt x="0" y="0"/>
                                </a:moveTo>
                                <a:lnTo>
                                  <a:pt x="5943600" y="0"/>
                                </a:lnTo>
                                <a:lnTo>
                                  <a:pt x="5943600" y="25400"/>
                                </a:lnTo>
                                <a:lnTo>
                                  <a:pt x="2971800"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74" style="width:468pt;height:2pt;mso-position-horizontal-relative:char;mso-position-vertical-relative:line" coordsize="59436,254">
                <v:shape id="Shape 100" style="position:absolute;width:59436;height:254;left:0;top:0;" coordsize="5943600,25400" path="m0,0l5943600,0l5943600,25400l2971800,25400l0,25400l0,0x">
                  <v:stroke weight="0pt" endcap="flat" joinstyle="miter" miterlimit="10" on="false" color="#000000" opacity="0"/>
                  <v:fill on="true" color="#000000"/>
                </v:shape>
              </v:group>
            </w:pict>
          </mc:Fallback>
        </mc:AlternateContent>
      </w:r>
    </w:p>
    <w:p w:rsidR="00883437" w:rsidRDefault="00875802">
      <w:pPr>
        <w:pStyle w:val="Heading2"/>
        <w:spacing w:after="148"/>
        <w:ind w:left="-5"/>
      </w:pPr>
      <w:r>
        <w:rPr>
          <w:sz w:val="24"/>
          <w:u w:val="single" w:color="000000"/>
        </w:rPr>
        <w:t>Professional Experience</w:t>
      </w:r>
    </w:p>
    <w:p w:rsidR="00883437" w:rsidRDefault="00875802">
      <w:pPr>
        <w:spacing w:after="214" w:line="232" w:lineRule="auto"/>
        <w:ind w:left="0" w:right="269" w:firstLine="0"/>
      </w:pPr>
      <w:r>
        <w:rPr>
          <w:b/>
        </w:rPr>
        <w:t>Honeywell, Intl.  Colorado</w:t>
      </w:r>
      <w:r>
        <w:rPr>
          <w:b/>
        </w:rPr>
        <w:tab/>
        <w:t xml:space="preserve">2003 - Present </w:t>
      </w:r>
      <w:r>
        <w:rPr>
          <w:b/>
          <w:i/>
          <w:u w:val="single" w:color="000000"/>
        </w:rPr>
        <w:t>Global Supply Chain Leader/ NA Supply Chain Leader/Subcontract Leader</w:t>
      </w:r>
    </w:p>
    <w:p w:rsidR="00883437" w:rsidRDefault="00875802">
      <w:pPr>
        <w:spacing w:after="196"/>
        <w:ind w:left="0" w:firstLine="0"/>
      </w:pPr>
      <w:r>
        <w:t>Direct and lead the global sourcing responsible for $300MM in spend for direct material and $200M in indirect material. Directed the setting and management of strategic sourcing initiatives that drove cost reductions while improving supplier quality and de</w:t>
      </w:r>
      <w:r>
        <w:t xml:space="preserve">livery.  Managed 9 direct reports.   </w:t>
      </w:r>
    </w:p>
    <w:p w:rsidR="00883437" w:rsidRDefault="00875802">
      <w:pPr>
        <w:pStyle w:val="Heading3"/>
        <w:ind w:left="-5"/>
      </w:pPr>
      <w:r>
        <w:t>Accomplishments</w:t>
      </w:r>
    </w:p>
    <w:p w:rsidR="00883437" w:rsidRDefault="00875802">
      <w:pPr>
        <w:numPr>
          <w:ilvl w:val="0"/>
          <w:numId w:val="1"/>
        </w:numPr>
        <w:ind w:hanging="360"/>
      </w:pPr>
      <w:r>
        <w:t xml:space="preserve">Implemented strategic sourcing initiatives that allowed the team to </w:t>
      </w:r>
      <w:proofErr w:type="gramStart"/>
      <w:r>
        <w:t>achieved</w:t>
      </w:r>
      <w:proofErr w:type="gramEnd"/>
      <w:r>
        <w:t xml:space="preserve"> a 3% to 5% cost reduction on direct materials annually </w:t>
      </w:r>
    </w:p>
    <w:p w:rsidR="00883437" w:rsidRDefault="00875802">
      <w:pPr>
        <w:numPr>
          <w:ilvl w:val="0"/>
          <w:numId w:val="1"/>
        </w:numPr>
        <w:ind w:hanging="360"/>
      </w:pPr>
      <w:r>
        <w:t>Facilitated a 10% consumption reduction on indirect material spend wh</w:t>
      </w:r>
      <w:r>
        <w:t xml:space="preserve">ile strategically negotiating a </w:t>
      </w:r>
    </w:p>
    <w:p w:rsidR="00883437" w:rsidRDefault="00875802">
      <w:pPr>
        <w:ind w:left="720" w:firstLine="0"/>
      </w:pPr>
      <w:r>
        <w:t>4</w:t>
      </w:r>
      <w:proofErr w:type="gramStart"/>
      <w:r>
        <w:t>%  cost</w:t>
      </w:r>
      <w:proofErr w:type="gramEnd"/>
      <w:r>
        <w:t xml:space="preserve"> savings.</w:t>
      </w:r>
    </w:p>
    <w:p w:rsidR="00883437" w:rsidRDefault="00875802">
      <w:pPr>
        <w:numPr>
          <w:ilvl w:val="0"/>
          <w:numId w:val="1"/>
        </w:numPr>
        <w:ind w:hanging="360"/>
      </w:pPr>
      <w:r>
        <w:t>Actively influenced key delivery partners’ decisions by developing and implementing the global sourcing strategies that successfully achieved emerging region spend of 30% content which saved the organizati</w:t>
      </w:r>
      <w:r>
        <w:t xml:space="preserve">on $20M annually  </w:t>
      </w:r>
    </w:p>
    <w:p w:rsidR="00883437" w:rsidRDefault="00875802">
      <w:pPr>
        <w:numPr>
          <w:ilvl w:val="0"/>
          <w:numId w:val="1"/>
        </w:numPr>
        <w:ind w:hanging="360"/>
      </w:pPr>
      <w:r>
        <w:t>Collaborate with company stakeholders to ensure procurement strategies are aligned with business strategies that improve on-time-delivery and world class quality at the best landed price.</w:t>
      </w:r>
    </w:p>
    <w:p w:rsidR="00883437" w:rsidRDefault="00875802">
      <w:pPr>
        <w:numPr>
          <w:ilvl w:val="0"/>
          <w:numId w:val="1"/>
        </w:numPr>
        <w:ind w:hanging="360"/>
      </w:pPr>
      <w:r>
        <w:t>Managed the subcontract supply base that exceeded 100 different subcontract suppliers.  Facilitated the correct processes and procedures for bidding, bid analysis, final contract award, and detailed project and procurement plan for all western United State</w:t>
      </w:r>
      <w:r>
        <w:t>s jobs</w:t>
      </w:r>
    </w:p>
    <w:p w:rsidR="00883437" w:rsidRDefault="00875802">
      <w:pPr>
        <w:numPr>
          <w:ilvl w:val="0"/>
          <w:numId w:val="1"/>
        </w:numPr>
        <w:spacing w:after="192"/>
        <w:ind w:hanging="360"/>
      </w:pPr>
      <w:r>
        <w:t xml:space="preserve">Collaborated with project Management office to </w:t>
      </w:r>
      <w:proofErr w:type="gramStart"/>
      <w:r>
        <w:t>insure</w:t>
      </w:r>
      <w:proofErr w:type="gramEnd"/>
      <w:r>
        <w:t xml:space="preserve"> all documentation/data required for bidding, including specifications, scopes of work, site plans, and all other pertinent information were adhering to costing, scheduling, contract terms and conditions</w:t>
      </w:r>
      <w:r>
        <w:t xml:space="preserve"> enabling the team to complete the work on time.</w:t>
      </w:r>
    </w:p>
    <w:p w:rsidR="00883437" w:rsidRDefault="00875802">
      <w:pPr>
        <w:pStyle w:val="Heading3"/>
        <w:spacing w:after="192"/>
        <w:ind w:left="-5"/>
      </w:pPr>
      <w:r>
        <w:t>Schlage Lock / IR Security and Safety Sector, Colorado Springs, Co</w:t>
      </w:r>
      <w:r>
        <w:tab/>
        <w:t xml:space="preserve">                   2000 - 2003 </w:t>
      </w:r>
      <w:r>
        <w:rPr>
          <w:i/>
          <w:u w:val="single" w:color="000000"/>
        </w:rPr>
        <w:t>Supplier Development Engineering Manager, IR Metal Stampings COE, Non-Lock Purchasing Manager</w:t>
      </w:r>
    </w:p>
    <w:p w:rsidR="00883437" w:rsidRDefault="00875802">
      <w:pPr>
        <w:spacing w:after="196"/>
        <w:ind w:left="0" w:firstLine="0"/>
      </w:pPr>
      <w:r>
        <w:t>Managed the sup</w:t>
      </w:r>
      <w:r>
        <w:t>plier development/quality engineering department for IR Security and Safety Sector, a $2.0B business with over 400 suppliers.  Managed the Strategic Sourcing Department for 4 Business Units at Schlage Lock responsible for $300 Million in purchased goods an</w:t>
      </w:r>
      <w:r>
        <w:t>nually.  Managed 7 direct reports.</w:t>
      </w:r>
    </w:p>
    <w:p w:rsidR="00883437" w:rsidRDefault="00875802">
      <w:pPr>
        <w:pStyle w:val="Heading3"/>
        <w:ind w:left="-5"/>
      </w:pPr>
      <w:r>
        <w:t>Accomplishments</w:t>
      </w:r>
    </w:p>
    <w:p w:rsidR="00883437" w:rsidRDefault="00875802">
      <w:pPr>
        <w:numPr>
          <w:ilvl w:val="0"/>
          <w:numId w:val="2"/>
        </w:numPr>
        <w:ind w:hanging="360"/>
      </w:pPr>
      <w:r>
        <w:t>Developed and implemented a supplier development program that utilized Six Sigma and Lean tools to decrease DPM’s by 30% and increase Supplier Delivery from 82% to 95%</w:t>
      </w:r>
    </w:p>
    <w:p w:rsidR="00883437" w:rsidRDefault="00875802">
      <w:pPr>
        <w:numPr>
          <w:ilvl w:val="0"/>
          <w:numId w:val="2"/>
        </w:numPr>
        <w:ind w:hanging="360"/>
      </w:pPr>
      <w:r>
        <w:t>Implemented a monthly supplier scorec</w:t>
      </w:r>
      <w:r>
        <w:t>ard that tracked supplier performance.  Implemented corrective actions when necessary.</w:t>
      </w:r>
    </w:p>
    <w:p w:rsidR="00883437" w:rsidRDefault="00875802">
      <w:pPr>
        <w:numPr>
          <w:ilvl w:val="0"/>
          <w:numId w:val="2"/>
        </w:numPr>
        <w:ind w:hanging="360"/>
      </w:pPr>
      <w:r>
        <w:lastRenderedPageBreak/>
        <w:t>Successfully implemented strategic sourcing strategies that obtained 5% cost reduction ($10.0M annually) with the top 20% spend suppliers annually (both direct and indir</w:t>
      </w:r>
      <w:r>
        <w:t xml:space="preserve">ect materials). </w:t>
      </w:r>
    </w:p>
    <w:p w:rsidR="00883437" w:rsidRDefault="00875802">
      <w:pPr>
        <w:numPr>
          <w:ilvl w:val="0"/>
          <w:numId w:val="2"/>
        </w:numPr>
        <w:ind w:hanging="360"/>
      </w:pPr>
      <w:r>
        <w:t xml:space="preserve">Negotiated directly with ten international manufacturers to establish just-in-time partnership agreements, saving Schlage Lock an estimated $4.8MM in outsourcing of 3 plants.  </w:t>
      </w:r>
    </w:p>
    <w:p w:rsidR="00883437" w:rsidRDefault="00875802">
      <w:pPr>
        <w:pStyle w:val="Heading1"/>
        <w:ind w:right="2"/>
      </w:pPr>
      <w:r>
        <w:t>Todd Jones – Page 2</w:t>
      </w:r>
    </w:p>
    <w:p w:rsidR="00883437" w:rsidRDefault="00875802">
      <w:pPr>
        <w:spacing w:after="438" w:line="259" w:lineRule="auto"/>
        <w:ind w:left="-2" w:right="-12" w:firstLine="0"/>
      </w:pPr>
      <w:r>
        <w:rPr>
          <w:noProof/>
          <w:sz w:val="22"/>
        </w:rPr>
        <mc:AlternateContent>
          <mc:Choice Requires="wpg">
            <w:drawing>
              <wp:inline distT="0" distB="0" distL="0" distR="0">
                <wp:extent cx="5943600" cy="25400"/>
                <wp:effectExtent l="0" t="0" r="0" b="0"/>
                <wp:docPr id="2214" name="Group 2214"/>
                <wp:cNvGraphicFramePr/>
                <a:graphic xmlns:a="http://schemas.openxmlformats.org/drawingml/2006/main">
                  <a:graphicData uri="http://schemas.microsoft.com/office/word/2010/wordprocessingGroup">
                    <wpg:wgp>
                      <wpg:cNvGrpSpPr/>
                      <wpg:grpSpPr>
                        <a:xfrm>
                          <a:off x="0" y="0"/>
                          <a:ext cx="5943600" cy="25400"/>
                          <a:chOff x="0" y="0"/>
                          <a:chExt cx="5943600" cy="25400"/>
                        </a:xfrm>
                      </wpg:grpSpPr>
                      <wps:wsp>
                        <wps:cNvPr id="186" name="Shape 186"/>
                        <wps:cNvSpPr/>
                        <wps:spPr>
                          <a:xfrm>
                            <a:off x="0" y="0"/>
                            <a:ext cx="5943600" cy="25400"/>
                          </a:xfrm>
                          <a:custGeom>
                            <a:avLst/>
                            <a:gdLst/>
                            <a:ahLst/>
                            <a:cxnLst/>
                            <a:rect l="0" t="0" r="0" b="0"/>
                            <a:pathLst>
                              <a:path w="5943600" h="25400">
                                <a:moveTo>
                                  <a:pt x="0" y="0"/>
                                </a:moveTo>
                                <a:lnTo>
                                  <a:pt x="5943600" y="0"/>
                                </a:lnTo>
                                <a:lnTo>
                                  <a:pt x="5943600" y="25400"/>
                                </a:lnTo>
                                <a:lnTo>
                                  <a:pt x="2971800"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14" style="width:468pt;height:2pt;mso-position-horizontal-relative:char;mso-position-vertical-relative:line" coordsize="59436,254">
                <v:shape id="Shape 186" style="position:absolute;width:59436;height:254;left:0;top:0;" coordsize="5943600,25400" path="m0,0l5943600,0l5943600,25400l2971800,25400l0,25400l0,0x">
                  <v:stroke weight="0pt" endcap="flat" joinstyle="miter" miterlimit="10" on="false" color="#000000" opacity="0"/>
                  <v:fill on="true" color="#000000"/>
                </v:shape>
              </v:group>
            </w:pict>
          </mc:Fallback>
        </mc:AlternateContent>
      </w:r>
    </w:p>
    <w:p w:rsidR="00883437" w:rsidRDefault="00875802">
      <w:pPr>
        <w:spacing w:after="378"/>
        <w:ind w:left="715"/>
      </w:pPr>
      <w:r>
        <w:t xml:space="preserve"> </w:t>
      </w:r>
      <w:r>
        <w:t>Facilitated establishment of Metal Sta</w:t>
      </w:r>
      <w:r>
        <w:t>mping Commodity team for Ingersoll-Rand.  This task encompassed 4 Sectors and 8 Business Units with a total external spend of $80 Million and an internal spend of $110 Million. Identified and implemented strategies to obtain 6% annual savings ($4.8 Million</w:t>
      </w:r>
      <w:r>
        <w:t>) annually. Implemented Commodity Business Strategy to reduce the metal stamping supply base from 150 suppliers to 50 strategic suppliers within 18 months.</w:t>
      </w:r>
    </w:p>
    <w:p w:rsidR="00883437" w:rsidRDefault="00875802">
      <w:pPr>
        <w:pStyle w:val="Heading2"/>
        <w:spacing w:after="192"/>
        <w:ind w:left="-5"/>
      </w:pPr>
      <w:r>
        <w:t>Takata Restraint Systems Inc., Greensboro, N.C.</w:t>
      </w:r>
      <w:r>
        <w:tab/>
        <w:t xml:space="preserve">                 1998 - 2000 </w:t>
      </w:r>
      <w:r>
        <w:rPr>
          <w:i/>
          <w:u w:val="single" w:color="000000"/>
        </w:rPr>
        <w:t>Supply Chain/Purchasing</w:t>
      </w:r>
      <w:r>
        <w:rPr>
          <w:i/>
          <w:u w:val="single" w:color="000000"/>
        </w:rPr>
        <w:t xml:space="preserve"> Manager</w:t>
      </w:r>
    </w:p>
    <w:p w:rsidR="00883437" w:rsidRDefault="00875802">
      <w:pPr>
        <w:spacing w:after="196"/>
        <w:ind w:left="0" w:firstLine="0"/>
      </w:pPr>
      <w:r>
        <w:t>Total management responsibility for the procurement and contracting, including international purchasing, for all company materials, contracts, equipment and services in responsible for $350 Million spend annually. This includes direct and indirect</w:t>
      </w:r>
      <w:r>
        <w:t xml:space="preserve"> material purchased for 4 different facilities in the United States, Mexico, and Japan.</w:t>
      </w:r>
    </w:p>
    <w:p w:rsidR="00883437" w:rsidRDefault="00875802">
      <w:pPr>
        <w:pStyle w:val="Heading2"/>
        <w:ind w:left="-5"/>
      </w:pPr>
      <w:r>
        <w:t>Accomplishments</w:t>
      </w:r>
    </w:p>
    <w:p w:rsidR="00883437" w:rsidRDefault="00875802">
      <w:pPr>
        <w:numPr>
          <w:ilvl w:val="0"/>
          <w:numId w:val="3"/>
        </w:numPr>
        <w:ind w:hanging="360"/>
      </w:pPr>
      <w:r>
        <w:t xml:space="preserve">Operated within budget and exceeded the cost avoidance and productivity reduction objectives (3% to </w:t>
      </w:r>
    </w:p>
    <w:p w:rsidR="00883437" w:rsidRDefault="00875802">
      <w:pPr>
        <w:ind w:left="720" w:firstLine="0"/>
      </w:pPr>
      <w:r>
        <w:t>6%) established by senior management. Developed and</w:t>
      </w:r>
      <w:r>
        <w:t xml:space="preserve"> executed a strategic sourcing strategy to review, consolidate, and negotiate major purchases of materials and services across all business units which produced cost savings in excess of $15 Million annually. </w:t>
      </w:r>
    </w:p>
    <w:p w:rsidR="00883437" w:rsidRDefault="00875802">
      <w:pPr>
        <w:numPr>
          <w:ilvl w:val="0"/>
          <w:numId w:val="3"/>
        </w:numPr>
        <w:ind w:hanging="360"/>
      </w:pPr>
      <w:r>
        <w:t xml:space="preserve">Developed and monitored timetables to ensure the availability of materials to support new product launch.  Maintained an uninterrupted flow of products at a competitive price.  Obtained information necessary to assess short term and </w:t>
      </w:r>
      <w:proofErr w:type="gramStart"/>
      <w:r>
        <w:t>long term</w:t>
      </w:r>
      <w:proofErr w:type="gramEnd"/>
      <w:r>
        <w:t xml:space="preserve"> pricing trend</w:t>
      </w:r>
      <w:r>
        <w:t>s, raw material availability, and industry capacities.</w:t>
      </w:r>
    </w:p>
    <w:p w:rsidR="00883437" w:rsidRDefault="00875802">
      <w:pPr>
        <w:numPr>
          <w:ilvl w:val="0"/>
          <w:numId w:val="3"/>
        </w:numPr>
        <w:spacing w:after="194"/>
        <w:ind w:hanging="360"/>
      </w:pPr>
      <w:r>
        <w:t xml:space="preserve">Implemented a Supplier Quality program that developed and managed </w:t>
      </w:r>
      <w:proofErr w:type="gramStart"/>
      <w:r>
        <w:t>long term</w:t>
      </w:r>
      <w:proofErr w:type="gramEnd"/>
      <w:r>
        <w:t xml:space="preserve"> relationships with key suppliers.  This included educating the suppliers in standard quality concepts (ISO &amp; QS9000) and worl</w:t>
      </w:r>
      <w:r>
        <w:t xml:space="preserve">d class manufacturing process.   Established and achieved measurable performance targets (DPM’s &amp; O-T-D) </w:t>
      </w:r>
    </w:p>
    <w:p w:rsidR="00883437" w:rsidRDefault="00875802">
      <w:pPr>
        <w:pStyle w:val="Heading2"/>
        <w:tabs>
          <w:tab w:val="center" w:pos="7593"/>
        </w:tabs>
        <w:ind w:left="-15" w:firstLine="0"/>
      </w:pPr>
      <w:r>
        <w:t>Autoliv ASP, Ogden, UT</w:t>
      </w:r>
      <w:r>
        <w:tab/>
        <w:t xml:space="preserve">                       1988 - 1998</w:t>
      </w:r>
    </w:p>
    <w:p w:rsidR="00883437" w:rsidRDefault="00875802">
      <w:pPr>
        <w:spacing w:after="218" w:line="228" w:lineRule="auto"/>
        <w:ind w:left="0" w:firstLine="0"/>
      </w:pPr>
      <w:r>
        <w:rPr>
          <w:i/>
          <w:u w:val="single" w:color="000000"/>
        </w:rPr>
        <w:t xml:space="preserve">Advanced Development Purchasing Supervisor, Procurement specialist / Lead Production Buyer, </w:t>
      </w:r>
      <w:r>
        <w:rPr>
          <w:i/>
          <w:u w:val="single" w:color="000000"/>
        </w:rPr>
        <w:t>R &amp; D Purchasing Agent, Senior Buyer, Associate Design / Manufacturing Engineer, Tool Designer</w:t>
      </w:r>
    </w:p>
    <w:p w:rsidR="00883437" w:rsidRDefault="00875802">
      <w:pPr>
        <w:spacing w:after="196"/>
        <w:ind w:left="0" w:firstLine="0"/>
      </w:pPr>
      <w:r>
        <w:t xml:space="preserve">Procurement Responsibilities included a wide range of commodity lines that support a </w:t>
      </w:r>
      <w:proofErr w:type="gramStart"/>
      <w:r>
        <w:t>world class JIT manufacturing facilities</w:t>
      </w:r>
      <w:proofErr w:type="gramEnd"/>
      <w:r>
        <w:t>.  Coordinated and procured producti</w:t>
      </w:r>
      <w:r>
        <w:t>on and prototype components for different company designed products.  Interfaced with different departments within the organization to insure a smooth transition from concept to production.  Planned, directed, and coordinated so all programs were completed</w:t>
      </w:r>
      <w:r>
        <w:t xml:space="preserve"> within the time constraints allowed and target costs specified.</w:t>
      </w:r>
    </w:p>
    <w:p w:rsidR="00883437" w:rsidRDefault="00875802">
      <w:pPr>
        <w:pStyle w:val="Heading2"/>
        <w:ind w:left="-5"/>
      </w:pPr>
      <w:r>
        <w:t>Accomplishments</w:t>
      </w:r>
    </w:p>
    <w:p w:rsidR="00883437" w:rsidRDefault="00875802">
      <w:pPr>
        <w:numPr>
          <w:ilvl w:val="0"/>
          <w:numId w:val="4"/>
        </w:numPr>
        <w:ind w:hanging="360"/>
      </w:pPr>
      <w:r>
        <w:t>Managed the MRO/Indirect Sourcing function within the business unit. Based upon an annual spend of</w:t>
      </w:r>
    </w:p>
    <w:p w:rsidR="00883437" w:rsidRDefault="00875802">
      <w:pPr>
        <w:ind w:left="720" w:firstLine="0"/>
      </w:pPr>
      <w:r>
        <w:t>$25 Million spend, implemented standard 3% to 6% cost reduction in functiona</w:t>
      </w:r>
      <w:r>
        <w:t xml:space="preserve">l sourcing arena.  </w:t>
      </w:r>
    </w:p>
    <w:p w:rsidR="00883437" w:rsidRDefault="00875802">
      <w:pPr>
        <w:numPr>
          <w:ilvl w:val="0"/>
          <w:numId w:val="4"/>
        </w:numPr>
        <w:ind w:hanging="360"/>
      </w:pPr>
      <w:r>
        <w:t xml:space="preserve">Managed the Purchase of $75 Million of different commodities (metal stampings, injection moldings, steel impacts, plastics, and rubber components </w:t>
      </w:r>
      <w:proofErr w:type="spellStart"/>
      <w:r>
        <w:t>etc</w:t>
      </w:r>
      <w:proofErr w:type="spellEnd"/>
      <w:r>
        <w:t>) at the plant level.  Accountable for the complete cost and market analysis, the ident</w:t>
      </w:r>
      <w:r>
        <w:t>ification of suppliers, evaluation of quotations, and the negotiation of price, possible cost reductions, and terms &amp; conditions.</w:t>
      </w:r>
    </w:p>
    <w:p w:rsidR="00883437" w:rsidRDefault="00875802">
      <w:pPr>
        <w:numPr>
          <w:ilvl w:val="0"/>
          <w:numId w:val="4"/>
        </w:numPr>
        <w:spacing w:after="255"/>
        <w:ind w:hanging="360"/>
      </w:pPr>
      <w:r>
        <w:t>Negotiated and achieved a 5% to 8% price decrease on a yearly base on production parts.  Cost savings to the company ranged be</w:t>
      </w:r>
      <w:r>
        <w:t>tween $500,000 to over $2 Million a year.</w:t>
      </w:r>
    </w:p>
    <w:p w:rsidR="00883437" w:rsidRDefault="00875802">
      <w:pPr>
        <w:tabs>
          <w:tab w:val="center" w:pos="7926"/>
        </w:tabs>
        <w:spacing w:after="0" w:line="259" w:lineRule="auto"/>
        <w:ind w:left="0" w:firstLine="0"/>
      </w:pPr>
      <w:r>
        <w:rPr>
          <w:b/>
          <w:sz w:val="20"/>
        </w:rPr>
        <w:t>S.O.S Contracting Services, Salt Lake City, UT</w:t>
      </w:r>
      <w:r>
        <w:rPr>
          <w:b/>
          <w:sz w:val="20"/>
        </w:rPr>
        <w:tab/>
        <w:t xml:space="preserve">       1982 - 1988</w:t>
      </w:r>
    </w:p>
    <w:p w:rsidR="00883437" w:rsidRDefault="00875802">
      <w:pPr>
        <w:spacing w:after="14" w:line="259" w:lineRule="auto"/>
        <w:ind w:left="0" w:firstLine="0"/>
      </w:pPr>
      <w:r>
        <w:rPr>
          <w:i/>
          <w:sz w:val="20"/>
          <w:u w:val="single" w:color="000000"/>
        </w:rPr>
        <w:t xml:space="preserve">Contract Designer   </w:t>
      </w:r>
    </w:p>
    <w:p w:rsidR="00883437" w:rsidRDefault="00875802">
      <w:pPr>
        <w:spacing w:after="451" w:line="259" w:lineRule="auto"/>
        <w:ind w:left="-2" w:right="-12" w:firstLine="0"/>
      </w:pPr>
      <w:r>
        <w:rPr>
          <w:noProof/>
          <w:sz w:val="22"/>
        </w:rPr>
        <mc:AlternateContent>
          <mc:Choice Requires="wpg">
            <w:drawing>
              <wp:inline distT="0" distB="0" distL="0" distR="0">
                <wp:extent cx="5943600" cy="25400"/>
                <wp:effectExtent l="0" t="0" r="0" b="0"/>
                <wp:docPr id="2213" name="Group 2213"/>
                <wp:cNvGraphicFramePr/>
                <a:graphic xmlns:a="http://schemas.openxmlformats.org/drawingml/2006/main">
                  <a:graphicData uri="http://schemas.microsoft.com/office/word/2010/wordprocessingGroup">
                    <wpg:wgp>
                      <wpg:cNvGrpSpPr/>
                      <wpg:grpSpPr>
                        <a:xfrm>
                          <a:off x="0" y="0"/>
                          <a:ext cx="5943600" cy="25400"/>
                          <a:chOff x="0" y="0"/>
                          <a:chExt cx="5943600" cy="25400"/>
                        </a:xfrm>
                      </wpg:grpSpPr>
                      <wps:wsp>
                        <wps:cNvPr id="185" name="Shape 185"/>
                        <wps:cNvSpPr/>
                        <wps:spPr>
                          <a:xfrm>
                            <a:off x="0" y="0"/>
                            <a:ext cx="5943600" cy="25400"/>
                          </a:xfrm>
                          <a:custGeom>
                            <a:avLst/>
                            <a:gdLst/>
                            <a:ahLst/>
                            <a:cxnLst/>
                            <a:rect l="0" t="0" r="0" b="0"/>
                            <a:pathLst>
                              <a:path w="5943600" h="25400">
                                <a:moveTo>
                                  <a:pt x="0" y="0"/>
                                </a:moveTo>
                                <a:lnTo>
                                  <a:pt x="5943600" y="0"/>
                                </a:lnTo>
                                <a:lnTo>
                                  <a:pt x="5943600" y="25400"/>
                                </a:lnTo>
                                <a:lnTo>
                                  <a:pt x="2971800"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13" style="width:468pt;height:2pt;mso-position-horizontal-relative:char;mso-position-vertical-relative:line" coordsize="59436,254">
                <v:shape id="Shape 185" style="position:absolute;width:59436;height:254;left:0;top:0;" coordsize="5943600,25400" path="m0,0l5943600,0l5943600,25400l2971800,25400l0,25400l0,0x">
                  <v:stroke weight="0pt" endcap="flat" joinstyle="miter" miterlimit="10" on="false" color="#000000" opacity="0"/>
                  <v:fill on="true" color="#000000"/>
                </v:shape>
              </v:group>
            </w:pict>
          </mc:Fallback>
        </mc:AlternateContent>
      </w:r>
    </w:p>
    <w:p w:rsidR="00883437" w:rsidRDefault="00875802">
      <w:pPr>
        <w:pStyle w:val="Heading2"/>
        <w:spacing w:after="148"/>
        <w:ind w:left="-5"/>
      </w:pPr>
      <w:r>
        <w:rPr>
          <w:sz w:val="24"/>
          <w:u w:val="single" w:color="000000"/>
        </w:rPr>
        <w:t>Education</w:t>
      </w:r>
    </w:p>
    <w:p w:rsidR="00883437" w:rsidRDefault="00875802">
      <w:pPr>
        <w:spacing w:after="196" w:line="259" w:lineRule="auto"/>
        <w:ind w:left="-5" w:hanging="10"/>
      </w:pPr>
      <w:r>
        <w:rPr>
          <w:sz w:val="20"/>
        </w:rPr>
        <w:t>M.A. Organization Management – University of Phoenix – Salt Lake City, UT</w:t>
      </w:r>
    </w:p>
    <w:p w:rsidR="00883437" w:rsidRDefault="00875802">
      <w:pPr>
        <w:spacing w:after="196" w:line="259" w:lineRule="auto"/>
        <w:ind w:left="-5" w:hanging="10"/>
      </w:pPr>
      <w:r>
        <w:rPr>
          <w:sz w:val="20"/>
        </w:rPr>
        <w:lastRenderedPageBreak/>
        <w:t>B.S. Business Administration – University of Phoenix – Salt Lake City. UT</w:t>
      </w:r>
    </w:p>
    <w:p w:rsidR="00883437" w:rsidRDefault="00875802">
      <w:pPr>
        <w:spacing w:after="196" w:line="259" w:lineRule="auto"/>
        <w:ind w:left="-5" w:hanging="10"/>
      </w:pPr>
      <w:r>
        <w:rPr>
          <w:sz w:val="20"/>
        </w:rPr>
        <w:t>A.A.S. Engineering Technology – Salt Lake Community College, Salt Lake City, UT</w:t>
      </w:r>
    </w:p>
    <w:sectPr w:rsidR="00883437">
      <w:pgSz w:w="12240" w:h="15840"/>
      <w:pgMar w:top="369" w:right="1452" w:bottom="390"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A1767"/>
    <w:multiLevelType w:val="hybridMultilevel"/>
    <w:tmpl w:val="110A18EA"/>
    <w:lvl w:ilvl="0" w:tplc="1ECCDDF6">
      <w:start w:val="1"/>
      <w:numFmt w:val="bullet"/>
      <w:lvlText w:val=""/>
      <w:lvlJc w:val="left"/>
      <w:pPr>
        <w:ind w:left="7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B3A4424">
      <w:start w:val="1"/>
      <w:numFmt w:val="bullet"/>
      <w:lvlText w:val="o"/>
      <w:lvlJc w:val="left"/>
      <w:pPr>
        <w:ind w:left="14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8E2FDEE">
      <w:start w:val="1"/>
      <w:numFmt w:val="bullet"/>
      <w:lvlText w:val="▪"/>
      <w:lvlJc w:val="left"/>
      <w:pPr>
        <w:ind w:left="21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F802A34">
      <w:start w:val="1"/>
      <w:numFmt w:val="bullet"/>
      <w:lvlText w:val="•"/>
      <w:lvlJc w:val="left"/>
      <w:pPr>
        <w:ind w:left="28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1603A14">
      <w:start w:val="1"/>
      <w:numFmt w:val="bullet"/>
      <w:lvlText w:val="o"/>
      <w:lvlJc w:val="left"/>
      <w:pPr>
        <w:ind w:left="36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4B8FCF0">
      <w:start w:val="1"/>
      <w:numFmt w:val="bullet"/>
      <w:lvlText w:val="▪"/>
      <w:lvlJc w:val="left"/>
      <w:pPr>
        <w:ind w:left="43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A30A664">
      <w:start w:val="1"/>
      <w:numFmt w:val="bullet"/>
      <w:lvlText w:val="•"/>
      <w:lvlJc w:val="left"/>
      <w:pPr>
        <w:ind w:left="50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5EC79F4">
      <w:start w:val="1"/>
      <w:numFmt w:val="bullet"/>
      <w:lvlText w:val="o"/>
      <w:lvlJc w:val="left"/>
      <w:pPr>
        <w:ind w:left="57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6006204">
      <w:start w:val="1"/>
      <w:numFmt w:val="bullet"/>
      <w:lvlText w:val="▪"/>
      <w:lvlJc w:val="left"/>
      <w:pPr>
        <w:ind w:left="64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F4D7D88"/>
    <w:multiLevelType w:val="hybridMultilevel"/>
    <w:tmpl w:val="6234DE70"/>
    <w:lvl w:ilvl="0" w:tplc="308E104C">
      <w:start w:val="1"/>
      <w:numFmt w:val="bullet"/>
      <w:lvlText w:val=""/>
      <w:lvlJc w:val="left"/>
      <w:pPr>
        <w:ind w:left="7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F08409A">
      <w:start w:val="1"/>
      <w:numFmt w:val="bullet"/>
      <w:lvlText w:val="o"/>
      <w:lvlJc w:val="left"/>
      <w:pPr>
        <w:ind w:left="21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206D9B6">
      <w:start w:val="1"/>
      <w:numFmt w:val="bullet"/>
      <w:lvlText w:val="▪"/>
      <w:lvlJc w:val="left"/>
      <w:pPr>
        <w:ind w:left="28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B04CC6C">
      <w:start w:val="1"/>
      <w:numFmt w:val="bullet"/>
      <w:lvlText w:val="•"/>
      <w:lvlJc w:val="left"/>
      <w:pPr>
        <w:ind w:left="36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A7078A4">
      <w:start w:val="1"/>
      <w:numFmt w:val="bullet"/>
      <w:lvlText w:val="o"/>
      <w:lvlJc w:val="left"/>
      <w:pPr>
        <w:ind w:left="43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990D190">
      <w:start w:val="1"/>
      <w:numFmt w:val="bullet"/>
      <w:lvlText w:val="▪"/>
      <w:lvlJc w:val="left"/>
      <w:pPr>
        <w:ind w:left="50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DE27BCC">
      <w:start w:val="1"/>
      <w:numFmt w:val="bullet"/>
      <w:lvlText w:val="•"/>
      <w:lvlJc w:val="left"/>
      <w:pPr>
        <w:ind w:left="57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6C8767E">
      <w:start w:val="1"/>
      <w:numFmt w:val="bullet"/>
      <w:lvlText w:val="o"/>
      <w:lvlJc w:val="left"/>
      <w:pPr>
        <w:ind w:left="64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5B24BA8">
      <w:start w:val="1"/>
      <w:numFmt w:val="bullet"/>
      <w:lvlText w:val="▪"/>
      <w:lvlJc w:val="left"/>
      <w:pPr>
        <w:ind w:left="72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0E240B6"/>
    <w:multiLevelType w:val="hybridMultilevel"/>
    <w:tmpl w:val="B09CF81E"/>
    <w:lvl w:ilvl="0" w:tplc="5456F010">
      <w:start w:val="1"/>
      <w:numFmt w:val="bullet"/>
      <w:lvlText w:val=""/>
      <w:lvlJc w:val="left"/>
      <w:pPr>
        <w:ind w:left="7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8C0B87A">
      <w:start w:val="1"/>
      <w:numFmt w:val="bullet"/>
      <w:lvlText w:val="o"/>
      <w:lvlJc w:val="left"/>
      <w:pPr>
        <w:ind w:left="14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7249252">
      <w:start w:val="1"/>
      <w:numFmt w:val="bullet"/>
      <w:lvlText w:val="▪"/>
      <w:lvlJc w:val="left"/>
      <w:pPr>
        <w:ind w:left="21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9C62B4A">
      <w:start w:val="1"/>
      <w:numFmt w:val="bullet"/>
      <w:lvlText w:val="•"/>
      <w:lvlJc w:val="left"/>
      <w:pPr>
        <w:ind w:left="28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7BE5DEE">
      <w:start w:val="1"/>
      <w:numFmt w:val="bullet"/>
      <w:lvlText w:val="o"/>
      <w:lvlJc w:val="left"/>
      <w:pPr>
        <w:ind w:left="36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0BCFCA4">
      <w:start w:val="1"/>
      <w:numFmt w:val="bullet"/>
      <w:lvlText w:val="▪"/>
      <w:lvlJc w:val="left"/>
      <w:pPr>
        <w:ind w:left="43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4AC8C42">
      <w:start w:val="1"/>
      <w:numFmt w:val="bullet"/>
      <w:lvlText w:val="•"/>
      <w:lvlJc w:val="left"/>
      <w:pPr>
        <w:ind w:left="50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2CCC7B0">
      <w:start w:val="1"/>
      <w:numFmt w:val="bullet"/>
      <w:lvlText w:val="o"/>
      <w:lvlJc w:val="left"/>
      <w:pPr>
        <w:ind w:left="57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46E9ADA">
      <w:start w:val="1"/>
      <w:numFmt w:val="bullet"/>
      <w:lvlText w:val="▪"/>
      <w:lvlJc w:val="left"/>
      <w:pPr>
        <w:ind w:left="64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5CF27223"/>
    <w:multiLevelType w:val="hybridMultilevel"/>
    <w:tmpl w:val="DBD0420C"/>
    <w:lvl w:ilvl="0" w:tplc="226E244A">
      <w:start w:val="1"/>
      <w:numFmt w:val="bullet"/>
      <w:lvlText w:val=""/>
      <w:lvlJc w:val="left"/>
      <w:pPr>
        <w:ind w:left="7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5DA7346">
      <w:start w:val="1"/>
      <w:numFmt w:val="bullet"/>
      <w:lvlText w:val="o"/>
      <w:lvlJc w:val="left"/>
      <w:pPr>
        <w:ind w:left="21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EA2232A">
      <w:start w:val="1"/>
      <w:numFmt w:val="bullet"/>
      <w:lvlText w:val="▪"/>
      <w:lvlJc w:val="left"/>
      <w:pPr>
        <w:ind w:left="28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C347E42">
      <w:start w:val="1"/>
      <w:numFmt w:val="bullet"/>
      <w:lvlText w:val="•"/>
      <w:lvlJc w:val="left"/>
      <w:pPr>
        <w:ind w:left="36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E86DD42">
      <w:start w:val="1"/>
      <w:numFmt w:val="bullet"/>
      <w:lvlText w:val="o"/>
      <w:lvlJc w:val="left"/>
      <w:pPr>
        <w:ind w:left="43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E528884">
      <w:start w:val="1"/>
      <w:numFmt w:val="bullet"/>
      <w:lvlText w:val="▪"/>
      <w:lvlJc w:val="left"/>
      <w:pPr>
        <w:ind w:left="50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B308FE2">
      <w:start w:val="1"/>
      <w:numFmt w:val="bullet"/>
      <w:lvlText w:val="•"/>
      <w:lvlJc w:val="left"/>
      <w:pPr>
        <w:ind w:left="57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F7C0670">
      <w:start w:val="1"/>
      <w:numFmt w:val="bullet"/>
      <w:lvlText w:val="o"/>
      <w:lvlJc w:val="left"/>
      <w:pPr>
        <w:ind w:left="64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AA814EE">
      <w:start w:val="1"/>
      <w:numFmt w:val="bullet"/>
      <w:lvlText w:val="▪"/>
      <w:lvlJc w:val="left"/>
      <w:pPr>
        <w:ind w:left="72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437"/>
    <w:rsid w:val="00875802"/>
    <w:rsid w:val="0088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E08C12-A9C9-4F3A-AA75-3801AAB5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6" w:lineRule="auto"/>
      <w:ind w:left="370" w:hanging="370"/>
    </w:pPr>
    <w:rPr>
      <w:rFonts w:ascii="Calibri" w:eastAsia="Calibri" w:hAnsi="Calibri" w:cs="Calibri"/>
      <w:color w:val="000000"/>
      <w:sz w:val="19"/>
    </w:rPr>
  </w:style>
  <w:style w:type="paragraph" w:styleId="Heading1">
    <w:name w:val="heading 1"/>
    <w:next w:val="Normal"/>
    <w:link w:val="Heading1Char"/>
    <w:uiPriority w:val="9"/>
    <w:qFormat/>
    <w:pPr>
      <w:keepNext/>
      <w:keepLines/>
      <w:spacing w:after="0"/>
      <w:ind w:left="24" w:hanging="10"/>
      <w:jc w:val="center"/>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19"/>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19"/>
    </w:rPr>
  </w:style>
  <w:style w:type="character" w:customStyle="1" w:styleId="Heading3Char">
    <w:name w:val="Heading 3 Char"/>
    <w:link w:val="Heading3"/>
    <w:rPr>
      <w:rFonts w:ascii="Calibri" w:eastAsia="Calibri" w:hAnsi="Calibri" w:cs="Calibri"/>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Todd Jones</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Todd Jones</dc:title>
  <dc:subject/>
  <dc:creator>Schlage Lock</dc:creator>
  <cp:keywords/>
  <cp:lastModifiedBy>Stacey Kerschner</cp:lastModifiedBy>
  <cp:revision>2</cp:revision>
  <dcterms:created xsi:type="dcterms:W3CDTF">2019-05-29T16:00:00Z</dcterms:created>
  <dcterms:modified xsi:type="dcterms:W3CDTF">2019-05-29T16:00:00Z</dcterms:modified>
</cp:coreProperties>
</file>