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D2A" w:rsidRDefault="00383D2A" w:rsidP="00383D2A">
      <w:pPr>
        <w:pStyle w:val="Title"/>
      </w:pPr>
      <w:bookmarkStart w:id="0" w:name="_GoBack"/>
      <w:bookmarkEnd w:id="0"/>
      <w:r>
        <w:t>Sharon D. Pickett</w:t>
      </w:r>
    </w:p>
    <w:p w:rsidR="00383D2A" w:rsidRDefault="00383D2A" w:rsidP="00383D2A">
      <w:pPr>
        <w:rPr>
          <w:rFonts w:ascii="Arial Black" w:hAnsi="Arial Black"/>
        </w:rPr>
      </w:pPr>
      <w:r>
        <w:rPr>
          <w:rFonts w:ascii="Arial Black" w:hAnsi="Arial Black"/>
        </w:rPr>
        <w:t>______________________________________________________________________________________________</w:t>
      </w:r>
    </w:p>
    <w:p w:rsidR="00383D2A" w:rsidRDefault="00383D2A" w:rsidP="00383D2A">
      <w:pPr>
        <w:pStyle w:val="Heading1"/>
      </w:pPr>
      <w:r>
        <w:t xml:space="preserve">2643 Flossmoor Rd. #201, </w:t>
      </w:r>
      <w:smartTag w:uri="urn:schemas-microsoft-com:office:smarttags" w:element="City">
        <w:r>
          <w:t>Flossmoor</w:t>
        </w:r>
      </w:smartTag>
      <w:r>
        <w:t xml:space="preserve">, </w:t>
      </w:r>
      <w:smartTag w:uri="urn:schemas-microsoft-com:office:smarttags" w:element="State">
        <w:r>
          <w:t>Illinois</w:t>
        </w:r>
      </w:smartTag>
      <w:r>
        <w:t xml:space="preserve"> </w:t>
      </w:r>
      <w:smartTag w:uri="urn:schemas-microsoft-com:office:smarttags" w:element="PostalCode">
        <w:r>
          <w:t>60422</w:t>
        </w:r>
      </w:smartTag>
    </w:p>
    <w:p w:rsidR="00383D2A" w:rsidRDefault="00383D2A" w:rsidP="00383D2A">
      <w:pPr>
        <w:jc w:val="center"/>
      </w:pPr>
      <w:r>
        <w:rPr>
          <w:spacing w:val="-2"/>
        </w:rPr>
        <w:t xml:space="preserve">Home: </w:t>
      </w:r>
      <w:r>
        <w:t xml:space="preserve">(708) 991-7038 </w:t>
      </w:r>
      <w:r>
        <w:rPr>
          <w:spacing w:val="-2"/>
        </w:rPr>
        <w:t>• Cell: (708) 359-2751 • sdpickett@live.com</w:t>
      </w:r>
    </w:p>
    <w:p w:rsidR="00383D2A" w:rsidRDefault="00383D2A" w:rsidP="00383D2A">
      <w:pPr>
        <w:tabs>
          <w:tab w:val="left" w:pos="180"/>
        </w:tabs>
        <w:ind w:left="180" w:hanging="180"/>
        <w:rPr>
          <w:b w:val="0"/>
          <w:bCs w:val="0"/>
          <w:spacing w:val="-2"/>
        </w:rPr>
      </w:pPr>
    </w:p>
    <w:p w:rsidR="00383D2A" w:rsidRDefault="00383D2A" w:rsidP="00383D2A">
      <w:r>
        <w:t xml:space="preserve">Self-motivated, reliable and dedicated professional with diverse qualifications and experience supported by strong team leadership, communication and organizational capabilities. </w:t>
      </w:r>
    </w:p>
    <w:p w:rsidR="00383D2A" w:rsidRDefault="00383D2A" w:rsidP="00383D2A">
      <w:pPr>
        <w:rPr>
          <w:b w:val="0"/>
          <w:bCs w:val="0"/>
        </w:rPr>
      </w:pPr>
    </w:p>
    <w:p w:rsidR="00383D2A" w:rsidRDefault="00383D2A" w:rsidP="00383D2A">
      <w:pPr>
        <w:ind w:firstLine="720"/>
        <w:rPr>
          <w:b w:val="0"/>
          <w:bCs w:val="0"/>
        </w:rPr>
      </w:pPr>
      <w:r>
        <w:rPr>
          <w:b w:val="0"/>
          <w:bCs w:val="0"/>
        </w:rPr>
        <w:t>Professional Underwriter and Consultant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Freddie Mac LP</w:t>
      </w:r>
    </w:p>
    <w:p w:rsidR="00383D2A" w:rsidRDefault="00383D2A" w:rsidP="00383D2A">
      <w:pPr>
        <w:ind w:firstLine="720"/>
        <w:rPr>
          <w:b w:val="0"/>
          <w:bCs w:val="0"/>
        </w:rPr>
      </w:pPr>
      <w:r>
        <w:rPr>
          <w:b w:val="0"/>
          <w:bCs w:val="0"/>
        </w:rPr>
        <w:t>Quality assurance and risk analysis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DU (Desktop Underwriter)</w:t>
      </w:r>
    </w:p>
    <w:p w:rsidR="00383D2A" w:rsidRDefault="00383D2A" w:rsidP="00383D2A">
      <w:pPr>
        <w:ind w:firstLine="720"/>
        <w:rPr>
          <w:b w:val="0"/>
          <w:bCs w:val="0"/>
        </w:rPr>
      </w:pPr>
      <w:r>
        <w:rPr>
          <w:b w:val="0"/>
          <w:bCs w:val="0"/>
        </w:rPr>
        <w:t>Pre-funding review and loan compliance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QAS (Quality Assurance System)</w:t>
      </w:r>
    </w:p>
    <w:p w:rsidR="00383D2A" w:rsidRDefault="00383D2A" w:rsidP="00383D2A">
      <w:pPr>
        <w:tabs>
          <w:tab w:val="left" w:pos="720"/>
          <w:tab w:val="left" w:pos="900"/>
        </w:tabs>
        <w:rPr>
          <w:b w:val="0"/>
          <w:bCs w:val="0"/>
        </w:rPr>
      </w:pPr>
      <w:r>
        <w:rPr>
          <w:b w:val="0"/>
          <w:bCs w:val="0"/>
          <w:spacing w:val="-2"/>
        </w:rPr>
        <w:tab/>
        <w:t>Key resource for problem resolution</w:t>
      </w:r>
      <w:r>
        <w:rPr>
          <w:b w:val="0"/>
          <w:bCs w:val="0"/>
          <w:spacing w:val="-2"/>
        </w:rPr>
        <w:tab/>
      </w:r>
      <w:r>
        <w:rPr>
          <w:b w:val="0"/>
          <w:bCs w:val="0"/>
          <w:spacing w:val="-2"/>
        </w:rPr>
        <w:tab/>
      </w:r>
      <w:r>
        <w:rPr>
          <w:b w:val="0"/>
          <w:bCs w:val="0"/>
          <w:spacing w:val="-2"/>
        </w:rPr>
        <w:tab/>
        <w:t>Excel, Word, Internet navigation</w:t>
      </w:r>
    </w:p>
    <w:p w:rsidR="00383D2A" w:rsidRDefault="00383D2A" w:rsidP="00383D2A">
      <w:pPr>
        <w:tabs>
          <w:tab w:val="left" w:pos="5445"/>
          <w:tab w:val="left" w:pos="5775"/>
        </w:tabs>
        <w:rPr>
          <w:b w:val="0"/>
          <w:bCs w:val="0"/>
        </w:rPr>
      </w:pPr>
      <w:r>
        <w:rPr>
          <w:b w:val="0"/>
          <w:bCs w:val="0"/>
        </w:rPr>
        <w:tab/>
        <w:t xml:space="preserve">      Encompass</w:t>
      </w:r>
    </w:p>
    <w:p w:rsidR="00383D2A" w:rsidRDefault="00383D2A" w:rsidP="00383D2A">
      <w:pPr>
        <w:pStyle w:val="Heading2"/>
        <w:tabs>
          <w:tab w:val="left" w:pos="3450"/>
          <w:tab w:val="center" w:pos="4968"/>
        </w:tabs>
        <w:jc w:val="left"/>
      </w:pPr>
      <w:r>
        <w:tab/>
      </w:r>
    </w:p>
    <w:p w:rsidR="00383D2A" w:rsidRDefault="00383D2A" w:rsidP="00383D2A">
      <w:pPr>
        <w:pStyle w:val="Heading2"/>
        <w:tabs>
          <w:tab w:val="left" w:pos="3450"/>
          <w:tab w:val="center" w:pos="4968"/>
        </w:tabs>
      </w:pPr>
      <w:r>
        <w:t>EXPERIENCE</w:t>
      </w:r>
    </w:p>
    <w:p w:rsidR="00383D2A" w:rsidRDefault="00383D2A" w:rsidP="00383D2A">
      <w:pPr>
        <w:rPr>
          <w:b w:val="0"/>
          <w:szCs w:val="20"/>
        </w:rPr>
      </w:pPr>
    </w:p>
    <w:p w:rsidR="00383D2A" w:rsidRDefault="00383D2A" w:rsidP="00383D2A">
      <w:pPr>
        <w:rPr>
          <w:szCs w:val="20"/>
        </w:rPr>
      </w:pPr>
    </w:p>
    <w:p w:rsidR="00383D2A" w:rsidRDefault="00383D2A" w:rsidP="00383D2A">
      <w:pPr>
        <w:rPr>
          <w:b w:val="0"/>
          <w:szCs w:val="20"/>
        </w:rPr>
      </w:pPr>
      <w:r>
        <w:rPr>
          <w:szCs w:val="20"/>
        </w:rPr>
        <w:t xml:space="preserve">International Financial Group (IFG)  </w:t>
      </w:r>
      <w:r>
        <w:rPr>
          <w:b w:val="0"/>
          <w:szCs w:val="20"/>
        </w:rPr>
        <w:t>Contract Mortgage Review Specialist at</w:t>
      </w:r>
      <w:r>
        <w:rPr>
          <w:szCs w:val="20"/>
        </w:rPr>
        <w:t xml:space="preserve"> </w:t>
      </w:r>
      <w:r w:rsidRPr="001E5366">
        <w:rPr>
          <w:szCs w:val="20"/>
        </w:rPr>
        <w:t>BMO Harris Bank</w:t>
      </w:r>
      <w:r>
        <w:rPr>
          <w:b w:val="0"/>
          <w:szCs w:val="20"/>
        </w:rPr>
        <w:t>, Naperville, IL, November 2013 to current.</w:t>
      </w:r>
    </w:p>
    <w:p w:rsidR="00383D2A" w:rsidRDefault="00383D2A" w:rsidP="00383D2A">
      <w:pPr>
        <w:rPr>
          <w:b w:val="0"/>
          <w:szCs w:val="20"/>
        </w:rPr>
      </w:pPr>
      <w:r w:rsidRPr="008161DF">
        <w:rPr>
          <w:b w:val="0"/>
          <w:sz w:val="48"/>
          <w:szCs w:val="48"/>
        </w:rPr>
        <w:t>.</w:t>
      </w:r>
      <w:r>
        <w:rPr>
          <w:b w:val="0"/>
          <w:sz w:val="48"/>
          <w:szCs w:val="48"/>
        </w:rPr>
        <w:t xml:space="preserve"> </w:t>
      </w:r>
      <w:r w:rsidRPr="008161DF">
        <w:rPr>
          <w:b w:val="0"/>
          <w:szCs w:val="20"/>
        </w:rPr>
        <w:t>R</w:t>
      </w:r>
      <w:r>
        <w:rPr>
          <w:b w:val="0"/>
          <w:szCs w:val="20"/>
        </w:rPr>
        <w:t>eview loan files for quality assurance after they have been approved and prior to funding to insure that        guidelines, compliance and HMDA data meets regulatory and investor requirements.</w:t>
      </w:r>
    </w:p>
    <w:p w:rsidR="00383D2A" w:rsidRDefault="00383D2A" w:rsidP="00383D2A">
      <w:r>
        <w:rPr>
          <w:b w:val="0"/>
        </w:rPr>
        <w:t xml:space="preserve"> </w:t>
      </w:r>
    </w:p>
    <w:p w:rsidR="00383D2A" w:rsidRDefault="00383D2A" w:rsidP="00383D2A">
      <w:pPr>
        <w:rPr>
          <w:b w:val="0"/>
        </w:rPr>
      </w:pPr>
      <w:r>
        <w:t xml:space="preserve">Guaranteed Rate, </w:t>
      </w:r>
      <w:r w:rsidRPr="00575205">
        <w:rPr>
          <w:b w:val="0"/>
        </w:rPr>
        <w:t>Chicago, IL</w:t>
      </w:r>
      <w:r>
        <w:rPr>
          <w:b w:val="0"/>
        </w:rPr>
        <w:t xml:space="preserve">, Mortgage Loan Underwriter, July 2011- October 2013 </w:t>
      </w:r>
    </w:p>
    <w:p w:rsidR="00383D2A" w:rsidRPr="00796D2A" w:rsidRDefault="00383D2A" w:rsidP="00383D2A">
      <w:r w:rsidRPr="00796D2A">
        <w:t>Underwriter</w:t>
      </w:r>
    </w:p>
    <w:p w:rsidR="00383D2A" w:rsidRDefault="00383D2A" w:rsidP="00383D2A">
      <w:r w:rsidRPr="00EA4A5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b w:val="0"/>
          <w:bCs w:val="0"/>
        </w:rPr>
        <w:t xml:space="preserve">Review credit backgrounds, appraisal reports, financial and income statements/tax returns as a source of            </w:t>
      </w:r>
      <w:r w:rsidRPr="00D714DE">
        <w:rPr>
          <w:b w:val="0"/>
          <w:bCs w:val="0"/>
        </w:rPr>
        <w:t>determining approval or denial of Conventional</w:t>
      </w:r>
      <w:r>
        <w:rPr>
          <w:b w:val="0"/>
          <w:bCs w:val="0"/>
        </w:rPr>
        <w:t xml:space="preserve"> and Jumbo</w:t>
      </w:r>
      <w:r w:rsidRPr="00D714DE">
        <w:rPr>
          <w:b w:val="0"/>
          <w:bCs w:val="0"/>
        </w:rPr>
        <w:t xml:space="preserve"> mortgage</w:t>
      </w:r>
      <w:r>
        <w:rPr>
          <w:b w:val="0"/>
          <w:bCs w:val="0"/>
        </w:rPr>
        <w:t>/non-conforming</w:t>
      </w:r>
      <w:r w:rsidRPr="00D714DE">
        <w:rPr>
          <w:b w:val="0"/>
          <w:bCs w:val="0"/>
        </w:rPr>
        <w:t xml:space="preserve"> loans; as well as use </w:t>
      </w:r>
      <w:r>
        <w:rPr>
          <w:b w:val="0"/>
          <w:bCs w:val="0"/>
        </w:rPr>
        <w:t xml:space="preserve">        </w:t>
      </w:r>
      <w:r w:rsidRPr="00D714DE">
        <w:rPr>
          <w:b w:val="0"/>
          <w:bCs w:val="0"/>
        </w:rPr>
        <w:t>available resources</w:t>
      </w:r>
      <w:r>
        <w:rPr>
          <w:b w:val="0"/>
          <w:bCs w:val="0"/>
        </w:rPr>
        <w:t xml:space="preserve"> </w:t>
      </w:r>
      <w:r w:rsidRPr="00D714DE">
        <w:rPr>
          <w:b w:val="0"/>
          <w:bCs w:val="0"/>
        </w:rPr>
        <w:t>to identify</w:t>
      </w:r>
      <w:r>
        <w:rPr>
          <w:b w:val="0"/>
          <w:bCs w:val="0"/>
        </w:rPr>
        <w:t xml:space="preserve"> </w:t>
      </w:r>
      <w:r w:rsidRPr="00D714DE">
        <w:rPr>
          <w:b w:val="0"/>
          <w:bCs w:val="0"/>
        </w:rPr>
        <w:t>and investigate any discrepancies and/or potential fraud.</w:t>
      </w:r>
    </w:p>
    <w:p w:rsidR="00383D2A" w:rsidRDefault="00383D2A" w:rsidP="00383D2A"/>
    <w:p w:rsidR="00383D2A" w:rsidRDefault="00383D2A" w:rsidP="00383D2A">
      <w:pPr>
        <w:rPr>
          <w:b w:val="0"/>
        </w:rPr>
      </w:pPr>
      <w:r>
        <w:t xml:space="preserve">HKA </w:t>
      </w:r>
      <w:r>
        <w:rPr>
          <w:b w:val="0"/>
        </w:rPr>
        <w:t xml:space="preserve">Mortgage Staffing, Contract Underwriter at </w:t>
      </w:r>
      <w:proofErr w:type="spellStart"/>
      <w:r w:rsidRPr="0074729B">
        <w:t>Wintrust</w:t>
      </w:r>
      <w:proofErr w:type="spellEnd"/>
      <w:r w:rsidRPr="0074729B">
        <w:t xml:space="preserve"> Mortgage</w:t>
      </w:r>
      <w:r>
        <w:rPr>
          <w:b w:val="0"/>
        </w:rPr>
        <w:t>, Frankfort, IL, April 2009- January 2011</w:t>
      </w:r>
    </w:p>
    <w:p w:rsidR="00383D2A" w:rsidRDefault="00383D2A" w:rsidP="00383D2A">
      <w:r w:rsidRPr="0074729B">
        <w:t xml:space="preserve">Underwriter </w:t>
      </w:r>
    </w:p>
    <w:p w:rsidR="00383D2A" w:rsidRDefault="00383D2A" w:rsidP="00383D2A">
      <w:pPr>
        <w:rPr>
          <w:b w:val="0"/>
          <w:bCs w:val="0"/>
        </w:rPr>
      </w:pPr>
      <w:r w:rsidRPr="00EA4A5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b w:val="0"/>
          <w:bCs w:val="0"/>
        </w:rPr>
        <w:t xml:space="preserve">Review credit backgrounds, appraisal reports, financial and income statements/tax returns as a source of              </w:t>
      </w:r>
      <w:r w:rsidRPr="00D714DE">
        <w:rPr>
          <w:b w:val="0"/>
          <w:bCs w:val="0"/>
        </w:rPr>
        <w:t xml:space="preserve">determining approval or denial of Conventional mortgage loans; as well as use available resources to identify   </w:t>
      </w:r>
    </w:p>
    <w:p w:rsidR="00383D2A" w:rsidRDefault="00383D2A" w:rsidP="00383D2A">
      <w:pPr>
        <w:rPr>
          <w:b w:val="0"/>
          <w:bCs w:val="0"/>
        </w:rPr>
      </w:pPr>
      <w:r>
        <w:rPr>
          <w:b w:val="0"/>
          <w:bCs w:val="0"/>
        </w:rPr>
        <w:t xml:space="preserve">   </w:t>
      </w:r>
      <w:proofErr w:type="gramStart"/>
      <w:r w:rsidRPr="00D714DE">
        <w:rPr>
          <w:b w:val="0"/>
          <w:bCs w:val="0"/>
        </w:rPr>
        <w:t>and</w:t>
      </w:r>
      <w:proofErr w:type="gramEnd"/>
      <w:r w:rsidRPr="00D714DE">
        <w:rPr>
          <w:b w:val="0"/>
          <w:bCs w:val="0"/>
        </w:rPr>
        <w:t xml:space="preserve"> investigate any discrepancies and/or potential fraud.</w:t>
      </w:r>
    </w:p>
    <w:p w:rsidR="00383D2A" w:rsidRDefault="00383D2A" w:rsidP="00383D2A">
      <w:pPr>
        <w:pStyle w:val="Subtitle"/>
        <w:rPr>
          <w:sz w:val="20"/>
          <w:szCs w:val="20"/>
        </w:rPr>
      </w:pPr>
    </w:p>
    <w:p w:rsidR="00383D2A" w:rsidRDefault="00383D2A" w:rsidP="00383D2A">
      <w:pPr>
        <w:pStyle w:val="Subtitle"/>
        <w:rPr>
          <w:sz w:val="20"/>
          <w:szCs w:val="20"/>
        </w:rPr>
      </w:pPr>
    </w:p>
    <w:p w:rsidR="00383D2A" w:rsidRDefault="00383D2A" w:rsidP="00383D2A">
      <w:pPr>
        <w:pStyle w:val="Subtitle"/>
        <w:rPr>
          <w:b w:val="0"/>
          <w:bCs w:val="0"/>
          <w:sz w:val="20"/>
        </w:rPr>
      </w:pPr>
      <w:r w:rsidRPr="00B44253">
        <w:rPr>
          <w:sz w:val="20"/>
          <w:szCs w:val="20"/>
        </w:rPr>
        <w:t>Fannie Mae</w:t>
      </w:r>
      <w:r>
        <w:rPr>
          <w:b w:val="0"/>
          <w:bCs w:val="0"/>
          <w:sz w:val="20"/>
        </w:rPr>
        <w:t>, Chicago, Illinois, April,  2004 – February, 2008 (contract to permanent)</w:t>
      </w:r>
    </w:p>
    <w:p w:rsidR="00383D2A" w:rsidRDefault="00383D2A" w:rsidP="00383D2A">
      <w:r>
        <w:t>Underwriter</w:t>
      </w:r>
    </w:p>
    <w:p w:rsidR="00383D2A" w:rsidRDefault="00383D2A" w:rsidP="00383D2A">
      <w:pPr>
        <w:tabs>
          <w:tab w:val="left" w:pos="180"/>
        </w:tabs>
        <w:ind w:left="180" w:hanging="180"/>
      </w:pPr>
      <w:r>
        <w:rPr>
          <w:b w:val="0"/>
          <w:bCs w:val="0"/>
          <w:spacing w:val="-2"/>
        </w:rPr>
        <w:t>• Perform underwriting reviews of assigned lenders, with responsibility for risk analysis, review</w:t>
      </w:r>
      <w:r>
        <w:rPr>
          <w:b w:val="0"/>
          <w:bCs w:val="0"/>
        </w:rPr>
        <w:t xml:space="preserve"> of pre-purchase, post-closing, and early payment default.</w:t>
      </w:r>
    </w:p>
    <w:p w:rsidR="00383D2A" w:rsidRDefault="00383D2A" w:rsidP="00383D2A">
      <w:pPr>
        <w:tabs>
          <w:tab w:val="left" w:pos="180"/>
        </w:tabs>
        <w:ind w:left="180" w:hanging="180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•</w:t>
      </w:r>
      <w:r>
        <w:rPr>
          <w:b w:val="0"/>
          <w:bCs w:val="0"/>
          <w:spacing w:val="-2"/>
        </w:rPr>
        <w:tab/>
        <w:t>Review closed loans for eligibility in accordance with Fannie Mae’s Selling Guide and DU Guide.</w:t>
      </w:r>
    </w:p>
    <w:p w:rsidR="00383D2A" w:rsidRDefault="00383D2A" w:rsidP="00383D2A">
      <w:pPr>
        <w:tabs>
          <w:tab w:val="left" w:pos="180"/>
        </w:tabs>
        <w:ind w:left="180" w:hanging="180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•</w:t>
      </w:r>
      <w:r>
        <w:rPr>
          <w:b w:val="0"/>
          <w:bCs w:val="0"/>
          <w:spacing w:val="-2"/>
        </w:rPr>
        <w:tab/>
        <w:t>Evaluate loans for accuracy, completeness and compliance to Fannie Mae guidelines.</w:t>
      </w:r>
    </w:p>
    <w:p w:rsidR="00383D2A" w:rsidRDefault="00383D2A" w:rsidP="00383D2A">
      <w:pPr>
        <w:tabs>
          <w:tab w:val="left" w:pos="180"/>
        </w:tabs>
        <w:ind w:left="180" w:hanging="180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•</w:t>
      </w:r>
      <w:r>
        <w:rPr>
          <w:b w:val="0"/>
          <w:bCs w:val="0"/>
          <w:spacing w:val="-2"/>
        </w:rPr>
        <w:tab/>
        <w:t>Ensure compliance with terms of agreement as defined by contracts with lending partners.</w:t>
      </w:r>
    </w:p>
    <w:p w:rsidR="00383D2A" w:rsidRDefault="00383D2A" w:rsidP="00383D2A">
      <w:pPr>
        <w:tabs>
          <w:tab w:val="left" w:pos="180"/>
        </w:tabs>
        <w:ind w:left="180" w:hanging="180"/>
      </w:pPr>
      <w:r>
        <w:rPr>
          <w:b w:val="0"/>
          <w:bCs w:val="0"/>
          <w:spacing w:val="-2"/>
        </w:rPr>
        <w:t>•</w:t>
      </w:r>
      <w:r>
        <w:rPr>
          <w:b w:val="0"/>
          <w:bCs w:val="0"/>
          <w:spacing w:val="-2"/>
        </w:rPr>
        <w:tab/>
        <w:t xml:space="preserve">Monitor and investigate discrepancies indicating deficiencies or potential fraud.  </w:t>
      </w:r>
    </w:p>
    <w:p w:rsidR="00383D2A" w:rsidRDefault="00383D2A" w:rsidP="00383D2A">
      <w:pPr>
        <w:rPr>
          <w:sz w:val="22"/>
        </w:rPr>
      </w:pPr>
    </w:p>
    <w:p w:rsidR="00383D2A" w:rsidRDefault="00383D2A" w:rsidP="00383D2A">
      <w:pPr>
        <w:rPr>
          <w:sz w:val="22"/>
        </w:rPr>
      </w:pPr>
    </w:p>
    <w:p w:rsidR="00383D2A" w:rsidRDefault="00383D2A" w:rsidP="00383D2A">
      <w:pPr>
        <w:rPr>
          <w:b w:val="0"/>
          <w:bCs w:val="0"/>
        </w:rPr>
      </w:pPr>
      <w:r>
        <w:rPr>
          <w:sz w:val="22"/>
        </w:rPr>
        <w:t>The Northern Trust Company</w:t>
      </w:r>
      <w:r>
        <w:rPr>
          <w:b w:val="0"/>
          <w:bCs w:val="0"/>
        </w:rPr>
        <w:t>, Chicago, Illinois, 2001 - 2003</w:t>
      </w:r>
    </w:p>
    <w:p w:rsidR="00383D2A" w:rsidRDefault="00383D2A" w:rsidP="00383D2A">
      <w:pPr>
        <w:pStyle w:val="Heading4"/>
      </w:pPr>
      <w:r>
        <w:t>Underwriter/QC Auditor</w:t>
      </w:r>
    </w:p>
    <w:p w:rsidR="00383D2A" w:rsidRDefault="00383D2A" w:rsidP="00383D2A">
      <w:pPr>
        <w:tabs>
          <w:tab w:val="left" w:pos="180"/>
        </w:tabs>
        <w:ind w:left="180" w:hanging="180"/>
        <w:rPr>
          <w:b w:val="0"/>
          <w:bCs w:val="0"/>
        </w:rPr>
      </w:pPr>
      <w:r>
        <w:rPr>
          <w:b w:val="0"/>
          <w:bCs w:val="0"/>
          <w:spacing w:val="-2"/>
        </w:rPr>
        <w:t>•</w:t>
      </w:r>
      <w:r>
        <w:rPr>
          <w:b w:val="0"/>
          <w:bCs w:val="0"/>
          <w:spacing w:val="-2"/>
        </w:rPr>
        <w:tab/>
        <w:t>Reviewed credit backgrounds, appraisal reports, financial and income statements as a resource for determining if loans meet guidelines prior to funding.</w:t>
      </w:r>
    </w:p>
    <w:p w:rsidR="00383D2A" w:rsidRDefault="00383D2A" w:rsidP="00383D2A">
      <w:pPr>
        <w:tabs>
          <w:tab w:val="left" w:pos="180"/>
        </w:tabs>
        <w:rPr>
          <w:b w:val="0"/>
          <w:bCs w:val="0"/>
        </w:rPr>
      </w:pPr>
      <w:r>
        <w:rPr>
          <w:b w:val="0"/>
          <w:bCs w:val="0"/>
          <w:spacing w:val="-2"/>
        </w:rPr>
        <w:t>•</w:t>
      </w:r>
      <w:r>
        <w:rPr>
          <w:b w:val="0"/>
          <w:bCs w:val="0"/>
          <w:spacing w:val="-2"/>
        </w:rPr>
        <w:tab/>
        <w:t>Quality Team Member responsible for reviewing and monitoring compliance of loans to quality standards.</w:t>
      </w:r>
    </w:p>
    <w:p w:rsidR="00383D2A" w:rsidRDefault="00383D2A" w:rsidP="00383D2A">
      <w:pPr>
        <w:tabs>
          <w:tab w:val="left" w:pos="180"/>
        </w:tabs>
        <w:ind w:left="180" w:hanging="180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ab/>
      </w:r>
    </w:p>
    <w:p w:rsidR="00383D2A" w:rsidRDefault="00383D2A" w:rsidP="00383D2A">
      <w:pPr>
        <w:tabs>
          <w:tab w:val="left" w:pos="180"/>
        </w:tabs>
        <w:ind w:left="180" w:hanging="180"/>
        <w:rPr>
          <w:b w:val="0"/>
          <w:bCs w:val="0"/>
        </w:rPr>
      </w:pPr>
      <w:r>
        <w:t xml:space="preserve">EDUCATION:  </w:t>
      </w:r>
      <w:r>
        <w:rPr>
          <w:b w:val="0"/>
          <w:bCs w:val="0"/>
        </w:rPr>
        <w:t xml:space="preserve">Underwriting Certificate, completed 56 hours continuing education, Member of Society of Loan Underwriters. Business Administration, completed two years, </w:t>
      </w:r>
      <w:smartTag w:uri="urn:schemas-microsoft-com:office:smarttags" w:element="PlaceName">
        <w:r>
          <w:rPr>
            <w:b w:val="0"/>
            <w:bCs w:val="0"/>
          </w:rPr>
          <w:t>George</w:t>
        </w:r>
      </w:smartTag>
      <w:r>
        <w:rPr>
          <w:b w:val="0"/>
          <w:bCs w:val="0"/>
        </w:rPr>
        <w:t xml:space="preserve"> </w:t>
      </w:r>
      <w:smartTag w:uri="urn:schemas-microsoft-com:office:smarttags" w:element="PlaceName">
        <w:r>
          <w:rPr>
            <w:b w:val="0"/>
            <w:bCs w:val="0"/>
          </w:rPr>
          <w:t>C.</w:t>
        </w:r>
      </w:smartTag>
      <w:r>
        <w:rPr>
          <w:b w:val="0"/>
          <w:bCs w:val="0"/>
        </w:rPr>
        <w:t xml:space="preserve"> </w:t>
      </w:r>
      <w:smartTag w:uri="urn:schemas-microsoft-com:office:smarttags" w:element="PlaceName">
        <w:r>
          <w:rPr>
            <w:b w:val="0"/>
            <w:bCs w:val="0"/>
          </w:rPr>
          <w:t>Wallace</w:t>
        </w:r>
      </w:smartTag>
      <w:r>
        <w:rPr>
          <w:b w:val="0"/>
          <w:bCs w:val="0"/>
        </w:rPr>
        <w:t xml:space="preserve"> </w:t>
      </w:r>
      <w:smartTag w:uri="urn:schemas-microsoft-com:office:smarttags" w:element="PlaceName">
        <w:r>
          <w:rPr>
            <w:b w:val="0"/>
            <w:bCs w:val="0"/>
          </w:rPr>
          <w:t>College</w:t>
        </w:r>
      </w:smartTag>
      <w:r>
        <w:rPr>
          <w:b w:val="0"/>
          <w:bCs w:val="0"/>
        </w:rPr>
        <w:t xml:space="preserve">, </w:t>
      </w:r>
      <w:smartTag w:uri="urn:schemas-microsoft-com:office:smarttags" w:element="City">
        <w:r>
          <w:rPr>
            <w:b w:val="0"/>
            <w:bCs w:val="0"/>
          </w:rPr>
          <w:t>Selma</w:t>
        </w:r>
      </w:smartTag>
      <w:r>
        <w:rPr>
          <w:b w:val="0"/>
          <w:bCs w:val="0"/>
        </w:rPr>
        <w:t>, AL.</w:t>
      </w:r>
    </w:p>
    <w:p w:rsidR="00383D2A" w:rsidRDefault="00383D2A" w:rsidP="00383D2A">
      <w:pPr>
        <w:tabs>
          <w:tab w:val="left" w:pos="180"/>
        </w:tabs>
        <w:ind w:left="180" w:hanging="180"/>
        <w:rPr>
          <w:b w:val="0"/>
          <w:bCs w:val="0"/>
        </w:rPr>
      </w:pPr>
    </w:p>
    <w:p w:rsidR="00383D2A" w:rsidRPr="00383D2A" w:rsidRDefault="00383D2A" w:rsidP="00383D2A"/>
    <w:sectPr w:rsidR="00383D2A" w:rsidRPr="00383D2A">
      <w:pgSz w:w="12240" w:h="15840"/>
      <w:pgMar w:top="720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D2A"/>
    <w:rsid w:val="00383D2A"/>
    <w:rsid w:val="003D6497"/>
    <w:rsid w:val="0045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7C6F2C-4CA5-4463-8C9D-46CDB134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D2A"/>
    <w:pPr>
      <w:spacing w:after="0" w:line="240" w:lineRule="auto"/>
    </w:pPr>
    <w:rPr>
      <w:rFonts w:ascii="Arial" w:eastAsia="Times New Roman" w:hAnsi="Arial" w:cs="Times New Roman"/>
      <w:b/>
      <w:bCs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383D2A"/>
    <w:pPr>
      <w:keepNext/>
      <w:jc w:val="center"/>
      <w:outlineLvl w:val="0"/>
    </w:pPr>
  </w:style>
  <w:style w:type="paragraph" w:styleId="Heading2">
    <w:name w:val="heading 2"/>
    <w:basedOn w:val="Normal"/>
    <w:next w:val="Normal"/>
    <w:link w:val="Heading2Char"/>
    <w:qFormat/>
    <w:rsid w:val="00383D2A"/>
    <w:pPr>
      <w:keepNext/>
      <w:jc w:val="center"/>
      <w:outlineLvl w:val="1"/>
    </w:pPr>
    <w:rPr>
      <w:sz w:val="22"/>
    </w:rPr>
  </w:style>
  <w:style w:type="paragraph" w:styleId="Heading4">
    <w:name w:val="heading 4"/>
    <w:basedOn w:val="Normal"/>
    <w:next w:val="Normal"/>
    <w:link w:val="Heading4Char"/>
    <w:qFormat/>
    <w:rsid w:val="00383D2A"/>
    <w:pPr>
      <w:keepNext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3D2A"/>
    <w:rPr>
      <w:rFonts w:ascii="Arial" w:eastAsia="Times New Roman" w:hAnsi="Arial" w:cs="Times New Roman"/>
      <w:b/>
      <w:bCs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383D2A"/>
    <w:rPr>
      <w:rFonts w:ascii="Arial" w:eastAsia="Times New Roman" w:hAnsi="Arial" w:cs="Times New Roma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383D2A"/>
    <w:rPr>
      <w:rFonts w:ascii="Arial" w:eastAsia="Times New Roman" w:hAnsi="Arial" w:cs="Times New Roman"/>
      <w:b/>
      <w:bCs/>
      <w:sz w:val="20"/>
      <w:szCs w:val="24"/>
    </w:rPr>
  </w:style>
  <w:style w:type="paragraph" w:styleId="Title">
    <w:name w:val="Title"/>
    <w:basedOn w:val="Normal"/>
    <w:link w:val="TitleChar"/>
    <w:qFormat/>
    <w:rsid w:val="00383D2A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383D2A"/>
    <w:rPr>
      <w:rFonts w:ascii="Arial" w:eastAsia="Times New Roman" w:hAnsi="Arial" w:cs="Times New Roman"/>
      <w:b/>
      <w:bCs/>
      <w:sz w:val="32"/>
      <w:szCs w:val="24"/>
    </w:rPr>
  </w:style>
  <w:style w:type="paragraph" w:styleId="Subtitle">
    <w:name w:val="Subtitle"/>
    <w:basedOn w:val="Normal"/>
    <w:link w:val="SubtitleChar"/>
    <w:qFormat/>
    <w:rsid w:val="00383D2A"/>
    <w:rPr>
      <w:sz w:val="24"/>
    </w:rPr>
  </w:style>
  <w:style w:type="character" w:customStyle="1" w:styleId="SubtitleChar">
    <w:name w:val="Subtitle Char"/>
    <w:basedOn w:val="DefaultParagraphFont"/>
    <w:link w:val="Subtitle"/>
    <w:rsid w:val="00383D2A"/>
    <w:rPr>
      <w:rFonts w:ascii="Arial" w:eastAsia="Times New Roman" w:hAnsi="Arial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Pickett</dc:creator>
  <cp:keywords/>
  <dc:description/>
  <cp:lastModifiedBy>Lis</cp:lastModifiedBy>
  <cp:revision>2</cp:revision>
  <dcterms:created xsi:type="dcterms:W3CDTF">2015-11-17T21:18:00Z</dcterms:created>
  <dcterms:modified xsi:type="dcterms:W3CDTF">2015-11-17T21:18:00Z</dcterms:modified>
</cp:coreProperties>
</file>