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51" w:rsidRPr="002D295D" w:rsidRDefault="00D81844" w:rsidP="00BF367C">
      <w:pPr>
        <w:spacing w:line="20" w:lineRule="atLeast"/>
        <w:jc w:val="center"/>
        <w:rPr>
          <w:b/>
          <w:sz w:val="32"/>
          <w:szCs w:val="32"/>
        </w:rPr>
      </w:pPr>
      <w:r w:rsidRPr="002D295D">
        <w:rPr>
          <w:b/>
          <w:sz w:val="32"/>
          <w:szCs w:val="32"/>
        </w:rPr>
        <w:t>Jude Montoya</w:t>
      </w:r>
    </w:p>
    <w:p w:rsidR="00D81844" w:rsidRPr="002D295D" w:rsidRDefault="00D81844" w:rsidP="00CA016F">
      <w:pPr>
        <w:spacing w:after="0" w:line="20" w:lineRule="atLeast"/>
        <w:jc w:val="center"/>
        <w:rPr>
          <w:b/>
        </w:rPr>
      </w:pPr>
      <w:r w:rsidRPr="002D295D">
        <w:rPr>
          <w:b/>
        </w:rPr>
        <w:t>16379 E. Bates Dr</w:t>
      </w:r>
      <w:proofErr w:type="gramStart"/>
      <w:r w:rsidRPr="002D295D">
        <w:rPr>
          <w:b/>
        </w:rPr>
        <w:t>. ,</w:t>
      </w:r>
      <w:proofErr w:type="gramEnd"/>
      <w:r w:rsidRPr="002D295D">
        <w:rPr>
          <w:b/>
        </w:rPr>
        <w:t xml:space="preserve"> Aurora Colorado 80013</w:t>
      </w:r>
    </w:p>
    <w:p w:rsidR="00D81844" w:rsidRPr="002D295D" w:rsidRDefault="00D81844" w:rsidP="00BF367C">
      <w:pPr>
        <w:pBdr>
          <w:bottom w:val="single" w:sz="6" w:space="1" w:color="auto"/>
        </w:pBdr>
        <w:spacing w:line="20" w:lineRule="atLeast"/>
        <w:jc w:val="center"/>
        <w:rPr>
          <w:b/>
        </w:rPr>
      </w:pPr>
      <w:proofErr w:type="gramStart"/>
      <w:r w:rsidRPr="002D295D">
        <w:rPr>
          <w:b/>
        </w:rPr>
        <w:t>303.917.6945 .</w:t>
      </w:r>
      <w:proofErr w:type="gramEnd"/>
      <w:r w:rsidRPr="002D295D">
        <w:rPr>
          <w:b/>
        </w:rPr>
        <w:t xml:space="preserve"> </w:t>
      </w:r>
      <w:proofErr w:type="gramStart"/>
      <w:r w:rsidRPr="002D295D">
        <w:rPr>
          <w:b/>
        </w:rPr>
        <w:t>303.400.8045 .</w:t>
      </w:r>
      <w:proofErr w:type="gramEnd"/>
      <w:r w:rsidRPr="002D295D">
        <w:rPr>
          <w:b/>
        </w:rPr>
        <w:t xml:space="preserve"> </w:t>
      </w:r>
      <w:hyperlink r:id="rId5" w:history="1">
        <w:r w:rsidRPr="002D295D">
          <w:rPr>
            <w:rStyle w:val="Hyperlink"/>
            <w:b/>
          </w:rPr>
          <w:t>hdtrma@comcast.net</w:t>
        </w:r>
      </w:hyperlink>
    </w:p>
    <w:p w:rsidR="00D81844" w:rsidRDefault="00D81844" w:rsidP="00BF367C">
      <w:pPr>
        <w:spacing w:line="20" w:lineRule="atLeast"/>
        <w:jc w:val="center"/>
        <w:rPr>
          <w:sz w:val="20"/>
          <w:szCs w:val="20"/>
        </w:rPr>
      </w:pPr>
      <w:r w:rsidRPr="00D81844">
        <w:rPr>
          <w:sz w:val="20"/>
          <w:szCs w:val="20"/>
        </w:rPr>
        <w:t>CREDIT PROFESSIONAL / ANALYST / UNDERWRITING / LOAN PROCESSING</w:t>
      </w:r>
    </w:p>
    <w:p w:rsidR="00D81844" w:rsidRDefault="002569B9" w:rsidP="00BF367C">
      <w:pPr>
        <w:spacing w:after="0" w:line="2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Credit Analyst with demonstrated experience in credit review and allocation for Industrial Construction and Manufacturing raw materials and Custom Software Design products.  Proven analytical skills and training in D&amp;B, financial statements, Income Statements, income taxes and diligence in fraud recognition and prevention.  Ability to communicate with business clients/partners and the departments necessary to resolve any</w:t>
      </w:r>
      <w:r w:rsidR="00AF5C24">
        <w:rPr>
          <w:sz w:val="20"/>
          <w:szCs w:val="20"/>
        </w:rPr>
        <w:t xml:space="preserve"> variances that may become problematic for accounts receivable process.</w:t>
      </w:r>
      <w:r>
        <w:rPr>
          <w:sz w:val="20"/>
          <w:szCs w:val="20"/>
        </w:rPr>
        <w:t xml:space="preserve"> </w:t>
      </w:r>
      <w:r w:rsidR="00AF5C24">
        <w:rPr>
          <w:sz w:val="20"/>
          <w:szCs w:val="20"/>
        </w:rPr>
        <w:t xml:space="preserve"> Ability to pull reports to gain information necessary analyze client portfolio characteristics and credit needs and make adjustments.  Trained in Mortgage Underwriting FHA/VA and Conventional Loans.  Proficient in Oracle,</w:t>
      </w:r>
      <w:r w:rsidR="004443BD">
        <w:rPr>
          <w:sz w:val="20"/>
          <w:szCs w:val="20"/>
        </w:rPr>
        <w:t xml:space="preserve"> </w:t>
      </w:r>
      <w:proofErr w:type="spellStart"/>
      <w:r w:rsidR="004443BD">
        <w:rPr>
          <w:sz w:val="20"/>
          <w:szCs w:val="20"/>
        </w:rPr>
        <w:t>MsWord</w:t>
      </w:r>
      <w:proofErr w:type="spellEnd"/>
      <w:r w:rsidR="004443BD">
        <w:rPr>
          <w:sz w:val="20"/>
          <w:szCs w:val="20"/>
        </w:rPr>
        <w:t>,</w:t>
      </w:r>
      <w:r w:rsidR="00954391">
        <w:rPr>
          <w:sz w:val="20"/>
          <w:szCs w:val="20"/>
        </w:rPr>
        <w:t xml:space="preserve"> </w:t>
      </w:r>
      <w:r w:rsidR="004443BD">
        <w:rPr>
          <w:sz w:val="20"/>
          <w:szCs w:val="20"/>
        </w:rPr>
        <w:t>Excel,</w:t>
      </w:r>
      <w:r w:rsidR="00954391">
        <w:rPr>
          <w:sz w:val="20"/>
          <w:szCs w:val="20"/>
        </w:rPr>
        <w:t xml:space="preserve"> </w:t>
      </w:r>
      <w:r w:rsidR="004443BD">
        <w:rPr>
          <w:sz w:val="20"/>
          <w:szCs w:val="20"/>
        </w:rPr>
        <w:t>Access, Data Archi</w:t>
      </w:r>
      <w:r w:rsidR="00AF5C24">
        <w:rPr>
          <w:sz w:val="20"/>
          <w:szCs w:val="20"/>
        </w:rPr>
        <w:t>tect</w:t>
      </w:r>
      <w:r w:rsidR="004443BD">
        <w:rPr>
          <w:sz w:val="20"/>
          <w:szCs w:val="20"/>
        </w:rPr>
        <w:t xml:space="preserve"> and other proprietary financial bank software.</w:t>
      </w:r>
    </w:p>
    <w:p w:rsidR="00890006" w:rsidRDefault="00890006" w:rsidP="00CA016F">
      <w:pPr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>Other areas of Experience:</w:t>
      </w:r>
    </w:p>
    <w:p w:rsidR="00890006" w:rsidRDefault="00890006" w:rsidP="00BF367C">
      <w:pPr>
        <w:pStyle w:val="ListParagraph"/>
        <w:numPr>
          <w:ilvl w:val="0"/>
          <w:numId w:val="1"/>
        </w:numPr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Bank/Trade </w:t>
      </w:r>
      <w:r w:rsidR="00954391">
        <w:rPr>
          <w:sz w:val="20"/>
          <w:szCs w:val="20"/>
        </w:rPr>
        <w:t>referrals</w:t>
      </w:r>
    </w:p>
    <w:p w:rsidR="00890006" w:rsidRDefault="00890006" w:rsidP="00BF367C">
      <w:pPr>
        <w:pStyle w:val="ListParagraph"/>
        <w:numPr>
          <w:ilvl w:val="0"/>
          <w:numId w:val="1"/>
        </w:numPr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>Reconcile and collection</w:t>
      </w:r>
    </w:p>
    <w:p w:rsidR="00890006" w:rsidRDefault="00954391" w:rsidP="00BF367C">
      <w:pPr>
        <w:pStyle w:val="ListParagraph"/>
        <w:numPr>
          <w:ilvl w:val="0"/>
          <w:numId w:val="1"/>
        </w:numPr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>Promissory</w:t>
      </w:r>
      <w:r w:rsidR="002D295D">
        <w:rPr>
          <w:sz w:val="20"/>
          <w:szCs w:val="20"/>
        </w:rPr>
        <w:t xml:space="preserve"> note, trade acceptance and letters of credit when necessary</w:t>
      </w:r>
    </w:p>
    <w:p w:rsidR="003A4139" w:rsidRDefault="003A4139" w:rsidP="00BF367C">
      <w:pPr>
        <w:pStyle w:val="ListParagraph"/>
        <w:numPr>
          <w:ilvl w:val="0"/>
          <w:numId w:val="1"/>
        </w:numPr>
        <w:spacing w:line="20" w:lineRule="atLeast"/>
        <w:rPr>
          <w:sz w:val="20"/>
          <w:szCs w:val="20"/>
        </w:rPr>
      </w:pPr>
      <w:r w:rsidRPr="003A4139">
        <w:rPr>
          <w:sz w:val="20"/>
          <w:szCs w:val="20"/>
        </w:rPr>
        <w:t>Requirements, Selling terms, Discounts, Credits and Write-offs</w:t>
      </w:r>
    </w:p>
    <w:p w:rsidR="003A4139" w:rsidRPr="003A4139" w:rsidRDefault="003A4139" w:rsidP="00BF367C">
      <w:pPr>
        <w:spacing w:line="20" w:lineRule="atLeast"/>
      </w:pPr>
      <w:r w:rsidRPr="003A4139">
        <w:rPr>
          <w:sz w:val="20"/>
          <w:szCs w:val="20"/>
        </w:rPr>
        <w:t>_____________________________________________________________________________________________</w:t>
      </w:r>
    </w:p>
    <w:p w:rsidR="003A4139" w:rsidRPr="006E40F9" w:rsidRDefault="003A4139" w:rsidP="00CA016F">
      <w:pPr>
        <w:pBdr>
          <w:bottom w:val="single" w:sz="12" w:space="1" w:color="auto"/>
        </w:pBdr>
        <w:spacing w:after="0" w:line="20" w:lineRule="atLeast"/>
        <w:jc w:val="center"/>
        <w:rPr>
          <w:b/>
          <w:sz w:val="32"/>
          <w:szCs w:val="32"/>
        </w:rPr>
      </w:pPr>
      <w:r w:rsidRPr="006E40F9">
        <w:rPr>
          <w:b/>
          <w:sz w:val="32"/>
          <w:szCs w:val="32"/>
        </w:rPr>
        <w:t>Professional Experience</w:t>
      </w:r>
    </w:p>
    <w:p w:rsidR="003A4139" w:rsidRDefault="003A4139" w:rsidP="00BF367C">
      <w:pPr>
        <w:spacing w:line="20" w:lineRule="atLeast"/>
        <w:rPr>
          <w:sz w:val="20"/>
          <w:szCs w:val="20"/>
        </w:rPr>
      </w:pPr>
    </w:p>
    <w:p w:rsidR="00BD46F2" w:rsidRPr="00BD46F2" w:rsidRDefault="00C12737" w:rsidP="00BF367C">
      <w:pPr>
        <w:spacing w:after="0" w:line="240" w:lineRule="auto"/>
        <w:rPr>
          <w:rFonts w:ascii="Calibri" w:eastAsia="Times New Roman" w:hAnsi="Calibri" w:cs="Times New Roman"/>
          <w:iCs/>
          <w:sz w:val="32"/>
          <w:szCs w:val="32"/>
        </w:rPr>
      </w:pPr>
      <w:proofErr w:type="spellStart"/>
      <w:r>
        <w:rPr>
          <w:rFonts w:ascii="Calibri" w:eastAsia="Times New Roman" w:hAnsi="Calibri" w:cs="Times New Roman"/>
          <w:iCs/>
          <w:sz w:val="27"/>
        </w:rPr>
        <w:t>Intelli</w:t>
      </w:r>
      <w:bookmarkStart w:id="0" w:name="_GoBack"/>
      <w:bookmarkEnd w:id="0"/>
      <w:r w:rsidR="003A4139" w:rsidRPr="00BD46F2">
        <w:rPr>
          <w:rFonts w:ascii="Calibri" w:eastAsia="Times New Roman" w:hAnsi="Calibri" w:cs="Times New Roman"/>
          <w:iCs/>
          <w:sz w:val="27"/>
        </w:rPr>
        <w:t>source</w:t>
      </w:r>
      <w:proofErr w:type="spellEnd"/>
      <w:r w:rsidR="003A4139" w:rsidRPr="00BD46F2">
        <w:rPr>
          <w:rFonts w:ascii="Calibri" w:eastAsia="Times New Roman" w:hAnsi="Calibri" w:cs="Times New Roman"/>
          <w:iCs/>
          <w:sz w:val="27"/>
        </w:rPr>
        <w:t>/Urban Lending/Bank of America</w:t>
      </w:r>
      <w:r w:rsidR="00BF367C">
        <w:rPr>
          <w:rFonts w:ascii="Calibri" w:eastAsia="Times New Roman" w:hAnsi="Calibri" w:cs="Times New Roman"/>
          <w:iCs/>
          <w:sz w:val="27"/>
        </w:rPr>
        <w:t xml:space="preserve"> - </w:t>
      </w:r>
      <w:r w:rsidR="00BF367C" w:rsidRPr="00BD46F2">
        <w:rPr>
          <w:rFonts w:ascii="Calibri" w:eastAsia="Times New Roman" w:hAnsi="Calibri" w:cs="Times New Roman"/>
          <w:iCs/>
          <w:sz w:val="27"/>
        </w:rPr>
        <w:t>Broomfield, Co</w:t>
      </w:r>
      <w:r w:rsidR="003A4139" w:rsidRPr="00BD46F2">
        <w:rPr>
          <w:rFonts w:ascii="Calibri" w:eastAsia="Times New Roman" w:hAnsi="Calibri" w:cs="Times New Roman"/>
          <w:iCs/>
          <w:sz w:val="27"/>
        </w:rPr>
        <w:t xml:space="preserve">                 </w:t>
      </w:r>
      <w:r w:rsidR="00BD46F2" w:rsidRPr="00BD46F2">
        <w:rPr>
          <w:rFonts w:ascii="Calibri" w:eastAsia="Times New Roman" w:hAnsi="Calibri" w:cs="Times New Roman"/>
          <w:iCs/>
          <w:sz w:val="27"/>
        </w:rPr>
        <w:t>2012-2013</w:t>
      </w:r>
      <w:r w:rsidR="003A4139" w:rsidRPr="00BD46F2">
        <w:rPr>
          <w:rFonts w:ascii="Calibri" w:eastAsia="Times New Roman" w:hAnsi="Calibri" w:cs="Times New Roman"/>
          <w:iCs/>
          <w:sz w:val="27"/>
        </w:rPr>
        <w:t xml:space="preserve">     </w:t>
      </w:r>
      <w:r w:rsidR="003A4139" w:rsidRPr="00BD46F2">
        <w:rPr>
          <w:rFonts w:ascii="Calibri" w:eastAsia="Times New Roman" w:hAnsi="Calibri" w:cs="Times New Roman"/>
          <w:iCs/>
          <w:sz w:val="27"/>
          <w:szCs w:val="27"/>
        </w:rPr>
        <w:br/>
      </w:r>
      <w:r w:rsidR="00BD46F2" w:rsidRPr="00BD46F2">
        <w:rPr>
          <w:rFonts w:ascii="Calibri" w:eastAsia="Times New Roman" w:hAnsi="Calibri" w:cs="Times New Roman"/>
          <w:iCs/>
          <w:sz w:val="32"/>
          <w:szCs w:val="32"/>
        </w:rPr>
        <w:t>DOJ Settlement Mortgage Underwriter</w:t>
      </w:r>
    </w:p>
    <w:p w:rsidR="00BD46F2" w:rsidRPr="00BD46F2" w:rsidRDefault="00BD46F2" w:rsidP="00CA016F">
      <w:pPr>
        <w:spacing w:after="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Perform Income calculations on </w:t>
      </w:r>
      <w:r w:rsidR="00954391" w:rsidRPr="00BD46F2">
        <w:rPr>
          <w:rFonts w:ascii="Calibri" w:eastAsia="Times New Roman" w:hAnsi="Calibri" w:cs="Times New Roman"/>
          <w:sz w:val="20"/>
          <w:szCs w:val="20"/>
        </w:rPr>
        <w:t>borrower’s</w:t>
      </w:r>
      <w:r w:rsidRPr="00BD46F2">
        <w:rPr>
          <w:rFonts w:ascii="Calibri" w:eastAsia="Times New Roman" w:hAnsi="Calibri" w:cs="Times New Roman"/>
          <w:sz w:val="20"/>
          <w:szCs w:val="20"/>
        </w:rPr>
        <w:t xml:space="preserve"> income sources to attain the most precise assumption on </w:t>
      </w:r>
      <w:r w:rsidR="00954391" w:rsidRPr="00BD46F2">
        <w:rPr>
          <w:rFonts w:ascii="Calibri" w:eastAsia="Times New Roman" w:hAnsi="Calibri" w:cs="Times New Roman"/>
          <w:sz w:val="20"/>
          <w:szCs w:val="20"/>
        </w:rPr>
        <w:t>borrower’s</w:t>
      </w:r>
      <w:r w:rsidRPr="00BD46F2">
        <w:rPr>
          <w:rFonts w:ascii="Calibri" w:eastAsia="Times New Roman" w:hAnsi="Calibri" w:cs="Times New Roman"/>
          <w:sz w:val="20"/>
          <w:szCs w:val="20"/>
        </w:rPr>
        <w:t xml:space="preserve"> debt risk. Perform special projects on a variety of loan modification programs. Assert due diligence to validate sources of income through various tools/applications: internal and external. Use all sources available to verify accuracy of documents for income calculation. Verify completion of documents to calculate income in a timely accurate manner</w:t>
      </w:r>
      <w:r w:rsidR="00CA016F">
        <w:rPr>
          <w:rFonts w:ascii="Calibri" w:eastAsia="Times New Roman" w:hAnsi="Calibri" w:cs="Times New Roman"/>
          <w:sz w:val="20"/>
          <w:szCs w:val="20"/>
        </w:rPr>
        <w:t>.</w:t>
      </w:r>
      <w:r w:rsidRPr="00BD46F2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BD46F2">
        <w:rPr>
          <w:rFonts w:ascii="Calibri" w:eastAsia="Times New Roman" w:hAnsi="Calibri" w:cs="Times New Roman"/>
          <w:sz w:val="20"/>
          <w:szCs w:val="20"/>
        </w:rPr>
        <w:br/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Evaluate documents and determine any requirements that may be necessary to ensure accordance with set guidelines for specific loan modification types. </w:t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>Document all requirements necessary and task borrowers processor to attain add to</w:t>
      </w:r>
      <w:r w:rsidR="00954391">
        <w:rPr>
          <w:rFonts w:ascii="Calibri" w:eastAsia="Times New Roman" w:hAnsi="Calibri" w:cs="Times New Roman"/>
          <w:sz w:val="20"/>
          <w:szCs w:val="20"/>
        </w:rPr>
        <w:t xml:space="preserve"> the file prior final decisions,</w:t>
      </w:r>
      <w:r w:rsidRPr="00BD46F2">
        <w:rPr>
          <w:rFonts w:ascii="Calibri" w:eastAsia="Times New Roman" w:hAnsi="Calibri" w:cs="Times New Roman"/>
          <w:sz w:val="20"/>
          <w:szCs w:val="20"/>
        </w:rPr>
        <w:t xml:space="preserve"> if necessary. </w:t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Pull credit reports for evaluation in regard to borrower income vs. debts. to get an idea of the layered potential risk </w:t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Evaluate assets to attempt to offset any apparent risk for investor and borrower </w:t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Utilize in-house communication to gain information quickly </w:t>
      </w:r>
    </w:p>
    <w:p w:rsidR="00BD46F2" w:rsidRPr="00BD46F2" w:rsidRDefault="00BD46F2" w:rsidP="00BF367C">
      <w:pPr>
        <w:numPr>
          <w:ilvl w:val="0"/>
          <w:numId w:val="2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Create and utilize internal and external scoring and quality assurance share point sites to track individual daily production requirements and accuracy for reporting purposes on a corporate, state and federal levels </w:t>
      </w:r>
    </w:p>
    <w:p w:rsidR="00BD46F2" w:rsidRPr="006E40F9" w:rsidRDefault="00BD46F2" w:rsidP="00BF367C">
      <w:pPr>
        <w:pStyle w:val="ListParagraph"/>
        <w:numPr>
          <w:ilvl w:val="0"/>
          <w:numId w:val="2"/>
        </w:numPr>
        <w:spacing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Recruited and trained for a quality control team(AWARE) that accesses all resources and researches all guidelines advocate the underwriter when our inline QC team fails a loan due to questionable decisions on document and calculation requirements for mortgages.</w:t>
      </w:r>
    </w:p>
    <w:p w:rsidR="00CA016F" w:rsidRDefault="00CA016F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</w:p>
    <w:p w:rsidR="00BD46F2" w:rsidRDefault="00BD46F2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proofErr w:type="spellStart"/>
      <w:r w:rsidRPr="00BD46F2">
        <w:rPr>
          <w:rFonts w:ascii="Calibri" w:eastAsia="Times New Roman" w:hAnsi="Calibri" w:cs="Times New Roman"/>
          <w:iCs/>
          <w:sz w:val="27"/>
        </w:rPr>
        <w:t>ClarityNow</w:t>
      </w:r>
      <w:proofErr w:type="spellEnd"/>
      <w:r w:rsidRPr="00BD46F2">
        <w:rPr>
          <w:rFonts w:ascii="Calibri" w:eastAsia="Times New Roman" w:hAnsi="Calibri" w:cs="Times New Roman"/>
          <w:iCs/>
          <w:sz w:val="27"/>
        </w:rPr>
        <w:t xml:space="preserve">, formerly </w:t>
      </w:r>
      <w:proofErr w:type="spellStart"/>
      <w:r w:rsidRPr="00BD46F2">
        <w:rPr>
          <w:rFonts w:ascii="Calibri" w:eastAsia="Times New Roman" w:hAnsi="Calibri" w:cs="Times New Roman"/>
          <w:iCs/>
          <w:sz w:val="27"/>
        </w:rPr>
        <w:t>Optegra</w:t>
      </w:r>
      <w:proofErr w:type="spellEnd"/>
      <w:r w:rsidRPr="00BD46F2">
        <w:rPr>
          <w:rFonts w:ascii="Calibri" w:eastAsia="Times New Roman" w:hAnsi="Calibri" w:cs="Times New Roman"/>
          <w:iCs/>
          <w:sz w:val="27"/>
        </w:rPr>
        <w:t xml:space="preserve">, </w:t>
      </w:r>
      <w:proofErr w:type="spellStart"/>
      <w:r w:rsidRPr="00BD46F2">
        <w:rPr>
          <w:rFonts w:ascii="Calibri" w:eastAsia="Times New Roman" w:hAnsi="Calibri" w:cs="Times New Roman"/>
          <w:iCs/>
          <w:sz w:val="27"/>
        </w:rPr>
        <w:t>Llc</w:t>
      </w:r>
      <w:proofErr w:type="spellEnd"/>
      <w:r w:rsidRPr="00BD46F2">
        <w:rPr>
          <w:rFonts w:ascii="Calibri" w:eastAsia="Times New Roman" w:hAnsi="Calibri" w:cs="Times New Roman"/>
          <w:iCs/>
          <w:sz w:val="27"/>
        </w:rPr>
        <w:t>.</w:t>
      </w:r>
      <w:r>
        <w:rPr>
          <w:rFonts w:ascii="Calibri" w:eastAsia="Times New Roman" w:hAnsi="Calibri" w:cs="Times New Roman"/>
          <w:iCs/>
          <w:sz w:val="27"/>
        </w:rPr>
        <w:t xml:space="preserve"> – Centennial, Co                     2003 - 2011</w:t>
      </w:r>
    </w:p>
    <w:p w:rsidR="00BD46F2" w:rsidRDefault="00BD46F2" w:rsidP="00BF367C">
      <w:pPr>
        <w:spacing w:after="0" w:line="20" w:lineRule="atLeast"/>
        <w:rPr>
          <w:rFonts w:ascii="Calibri" w:eastAsia="Times New Roman" w:hAnsi="Calibri" w:cs="Times New Roman"/>
          <w:iCs/>
          <w:sz w:val="32"/>
          <w:szCs w:val="32"/>
        </w:rPr>
      </w:pPr>
      <w:r w:rsidRPr="00BD46F2">
        <w:rPr>
          <w:rFonts w:ascii="Calibri" w:eastAsia="Times New Roman" w:hAnsi="Calibri" w:cs="Times New Roman"/>
          <w:iCs/>
          <w:sz w:val="32"/>
          <w:szCs w:val="32"/>
        </w:rPr>
        <w:t>Credit Analyst/ Business Consultant</w:t>
      </w:r>
    </w:p>
    <w:p w:rsidR="00BD46F2" w:rsidRPr="00BD46F2" w:rsidRDefault="00BD46F2" w:rsidP="00CA016F">
      <w:pPr>
        <w:spacing w:after="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Provide consulting and market research to determine feasibility of business idea in the utilities O&amp;M Space. Serve as a risk management consultant on a case by case basis in regards to prospective client and partners credit needs. </w:t>
      </w:r>
    </w:p>
    <w:p w:rsidR="00BD46F2" w:rsidRPr="00BD46F2" w:rsidRDefault="00BD46F2" w:rsidP="00BF367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Responsible for reviewing, analyzing and assisting in the approval and underwriting of the clients requests for services and ensuring overall compliance within company and industry guidelines </w:t>
      </w:r>
    </w:p>
    <w:p w:rsidR="00BD46F2" w:rsidRPr="00BD46F2" w:rsidRDefault="00BD46F2" w:rsidP="00BF367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Reviewing credit scores, financial reports and supporting documentation to assist in credit decision process including vendors, clients and partners </w:t>
      </w:r>
    </w:p>
    <w:p w:rsidR="00BD46F2" w:rsidRPr="00BD46F2" w:rsidRDefault="00BD46F2" w:rsidP="00BF367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Using proprietary automated scoring program or traditional underwriting methods to make appropriate decisions </w:t>
      </w:r>
    </w:p>
    <w:p w:rsidR="00BD46F2" w:rsidRPr="00BD46F2" w:rsidRDefault="00BD46F2" w:rsidP="00BF367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Present rational behind credit decisions to upper management or key partners </w:t>
      </w:r>
    </w:p>
    <w:p w:rsidR="00BD46F2" w:rsidRPr="00BD46F2" w:rsidRDefault="00BD46F2" w:rsidP="00BF367C">
      <w:pPr>
        <w:numPr>
          <w:ilvl w:val="0"/>
          <w:numId w:val="3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BD46F2">
        <w:rPr>
          <w:rFonts w:ascii="Calibri" w:eastAsia="Times New Roman" w:hAnsi="Calibri" w:cs="Times New Roman"/>
          <w:sz w:val="20"/>
          <w:szCs w:val="20"/>
        </w:rPr>
        <w:t xml:space="preserve">Staying abreast of changes in underwriting provisions and working with production and sales to resolve questions/problems that may inhibit payment schedules </w:t>
      </w:r>
    </w:p>
    <w:p w:rsidR="00BD46F2" w:rsidRPr="006E40F9" w:rsidRDefault="00BD46F2" w:rsidP="00BF367C">
      <w:pPr>
        <w:pStyle w:val="ListParagraph"/>
        <w:numPr>
          <w:ilvl w:val="0"/>
          <w:numId w:val="3"/>
        </w:numPr>
        <w:spacing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Implemented forecasting tools to project market attainment and operational expansion based on necessity</w:t>
      </w:r>
    </w:p>
    <w:p w:rsidR="00BF367C" w:rsidRDefault="00BD46F2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r w:rsidRPr="00236EA3">
        <w:rPr>
          <w:rFonts w:ascii="Calibri" w:eastAsia="Times New Roman" w:hAnsi="Calibri" w:cs="Times New Roman"/>
          <w:iCs/>
          <w:sz w:val="27"/>
        </w:rPr>
        <w:t xml:space="preserve">CitiFinancial Auto Collections - Centennial, Co              </w:t>
      </w:r>
      <w:r w:rsidR="006E40F9">
        <w:rPr>
          <w:rFonts w:ascii="Calibri" w:eastAsia="Times New Roman" w:hAnsi="Calibri" w:cs="Times New Roman"/>
          <w:iCs/>
          <w:sz w:val="27"/>
        </w:rPr>
        <w:t xml:space="preserve">                 </w:t>
      </w:r>
      <w:r w:rsidRPr="00236EA3">
        <w:rPr>
          <w:rFonts w:ascii="Calibri" w:eastAsia="Times New Roman" w:hAnsi="Calibri" w:cs="Times New Roman"/>
          <w:iCs/>
          <w:sz w:val="27"/>
        </w:rPr>
        <w:t xml:space="preserve">2007 </w:t>
      </w:r>
      <w:r w:rsidR="00236EA3">
        <w:rPr>
          <w:rFonts w:ascii="Calibri" w:eastAsia="Times New Roman" w:hAnsi="Calibri" w:cs="Times New Roman"/>
          <w:iCs/>
          <w:sz w:val="27"/>
        </w:rPr>
        <w:t>–</w:t>
      </w:r>
      <w:r w:rsidRPr="00236EA3">
        <w:rPr>
          <w:rFonts w:ascii="Calibri" w:eastAsia="Times New Roman" w:hAnsi="Calibri" w:cs="Times New Roman"/>
          <w:iCs/>
          <w:sz w:val="27"/>
        </w:rPr>
        <w:t xml:space="preserve"> 2009</w:t>
      </w:r>
    </w:p>
    <w:p w:rsidR="00236EA3" w:rsidRPr="00BF367C" w:rsidRDefault="00236EA3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r w:rsidRPr="00236EA3">
        <w:rPr>
          <w:rFonts w:ascii="Calibri" w:eastAsia="Times New Roman" w:hAnsi="Calibri" w:cs="Times New Roman"/>
          <w:bCs/>
          <w:sz w:val="32"/>
          <w:szCs w:val="32"/>
        </w:rPr>
        <w:t>Sr</w:t>
      </w:r>
      <w:r w:rsidR="00954391">
        <w:rPr>
          <w:rFonts w:ascii="Calibri" w:eastAsia="Times New Roman" w:hAnsi="Calibri" w:cs="Times New Roman"/>
          <w:bCs/>
          <w:sz w:val="32"/>
          <w:szCs w:val="32"/>
        </w:rPr>
        <w:t>.</w:t>
      </w:r>
      <w:r w:rsidRPr="00236EA3">
        <w:rPr>
          <w:rFonts w:ascii="Calibri" w:eastAsia="Times New Roman" w:hAnsi="Calibri" w:cs="Times New Roman"/>
          <w:bCs/>
          <w:sz w:val="32"/>
          <w:szCs w:val="32"/>
        </w:rPr>
        <w:t xml:space="preserve"> Back end Auto Collections</w:t>
      </w:r>
    </w:p>
    <w:p w:rsidR="00236EA3" w:rsidRPr="00236EA3" w:rsidRDefault="00236EA3" w:rsidP="00BF367C">
      <w:pPr>
        <w:spacing w:after="27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>Identified and contacted past-due account holders by telephone or in writing and requested payment to bring account current.</w:t>
      </w:r>
    </w:p>
    <w:p w:rsidR="00236EA3" w:rsidRPr="00236EA3" w:rsidRDefault="00236EA3" w:rsidP="00BF367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Pursued customer for payment obligations when insurance defaults as permitted by law or contractual relationships. </w:t>
      </w:r>
    </w:p>
    <w:p w:rsidR="00236EA3" w:rsidRPr="00236EA3" w:rsidRDefault="00236EA3" w:rsidP="00BF367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Resolved past-due account balances with facilities, as well as individual accounts. </w:t>
      </w:r>
    </w:p>
    <w:p w:rsidR="00236EA3" w:rsidRPr="00236EA3" w:rsidRDefault="00236EA3" w:rsidP="00BF367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Established alternative payment plan or other process for payment of past-due accounts. </w:t>
      </w:r>
    </w:p>
    <w:p w:rsidR="00236EA3" w:rsidRPr="00236EA3" w:rsidRDefault="00236EA3" w:rsidP="00BF367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Maintained process for follow up with account holders. </w:t>
      </w:r>
    </w:p>
    <w:p w:rsidR="00236EA3" w:rsidRPr="00236EA3" w:rsidRDefault="00236EA3" w:rsidP="00BF367C">
      <w:pPr>
        <w:numPr>
          <w:ilvl w:val="0"/>
          <w:numId w:val="4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Researched Accounts Receivable histories </w:t>
      </w:r>
    </w:p>
    <w:p w:rsidR="00236EA3" w:rsidRPr="006E40F9" w:rsidRDefault="00236EA3" w:rsidP="00BF367C">
      <w:pPr>
        <w:pStyle w:val="ListParagraph"/>
        <w:numPr>
          <w:ilvl w:val="0"/>
          <w:numId w:val="4"/>
        </w:numPr>
        <w:spacing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Resolved account discrepancies and uncollectible accounts and prepared adjustments or write-offs and refunds for approval as necessary. Attach backup documentation for justification of adjustment.</w:t>
      </w:r>
    </w:p>
    <w:p w:rsidR="00BD46F2" w:rsidRDefault="00236EA3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proofErr w:type="spellStart"/>
      <w:r w:rsidRPr="00236EA3">
        <w:rPr>
          <w:rFonts w:ascii="Calibri" w:eastAsia="Times New Roman" w:hAnsi="Calibri" w:cs="Times New Roman"/>
          <w:iCs/>
          <w:sz w:val="27"/>
        </w:rPr>
        <w:t>Centrix</w:t>
      </w:r>
      <w:proofErr w:type="spellEnd"/>
      <w:r w:rsidRPr="00236EA3">
        <w:rPr>
          <w:rFonts w:ascii="Calibri" w:eastAsia="Times New Roman" w:hAnsi="Calibri" w:cs="Times New Roman"/>
          <w:iCs/>
          <w:sz w:val="27"/>
        </w:rPr>
        <w:t xml:space="preserve"> Financial - Centennial, Co                           </w:t>
      </w:r>
      <w:r w:rsidR="006E40F9">
        <w:rPr>
          <w:rFonts w:ascii="Calibri" w:eastAsia="Times New Roman" w:hAnsi="Calibri" w:cs="Times New Roman"/>
          <w:iCs/>
          <w:sz w:val="27"/>
        </w:rPr>
        <w:t xml:space="preserve">                            </w:t>
      </w:r>
      <w:r w:rsidRPr="00236EA3">
        <w:rPr>
          <w:rFonts w:ascii="Calibri" w:eastAsia="Times New Roman" w:hAnsi="Calibri" w:cs="Times New Roman"/>
          <w:iCs/>
          <w:sz w:val="27"/>
        </w:rPr>
        <w:t xml:space="preserve">2005 </w:t>
      </w:r>
      <w:r>
        <w:rPr>
          <w:rFonts w:ascii="Calibri" w:eastAsia="Times New Roman" w:hAnsi="Calibri" w:cs="Times New Roman"/>
          <w:iCs/>
          <w:sz w:val="27"/>
        </w:rPr>
        <w:t>–</w:t>
      </w:r>
      <w:r w:rsidRPr="00236EA3">
        <w:rPr>
          <w:rFonts w:ascii="Calibri" w:eastAsia="Times New Roman" w:hAnsi="Calibri" w:cs="Times New Roman"/>
          <w:iCs/>
          <w:sz w:val="27"/>
        </w:rPr>
        <w:t xml:space="preserve"> 2007</w:t>
      </w:r>
    </w:p>
    <w:p w:rsidR="00236EA3" w:rsidRDefault="00236EA3" w:rsidP="00BF367C">
      <w:pPr>
        <w:spacing w:after="0" w:line="20" w:lineRule="atLeast"/>
        <w:rPr>
          <w:rFonts w:ascii="Calibri" w:eastAsia="Times New Roman" w:hAnsi="Calibri" w:cs="Times New Roman"/>
          <w:bCs/>
          <w:sz w:val="32"/>
          <w:szCs w:val="32"/>
        </w:rPr>
      </w:pPr>
      <w:r w:rsidRPr="00236EA3">
        <w:rPr>
          <w:rFonts w:ascii="Calibri" w:eastAsia="Times New Roman" w:hAnsi="Calibri" w:cs="Times New Roman"/>
          <w:bCs/>
          <w:sz w:val="32"/>
          <w:szCs w:val="32"/>
        </w:rPr>
        <w:t>Sr</w:t>
      </w:r>
      <w:r w:rsidR="00954391">
        <w:rPr>
          <w:rFonts w:ascii="Calibri" w:eastAsia="Times New Roman" w:hAnsi="Calibri" w:cs="Times New Roman"/>
          <w:bCs/>
          <w:sz w:val="32"/>
          <w:szCs w:val="32"/>
        </w:rPr>
        <w:t>.</w:t>
      </w:r>
      <w:r w:rsidRPr="00236EA3">
        <w:rPr>
          <w:rFonts w:ascii="Calibri" w:eastAsia="Times New Roman" w:hAnsi="Calibri" w:cs="Times New Roman"/>
          <w:bCs/>
          <w:sz w:val="32"/>
          <w:szCs w:val="32"/>
        </w:rPr>
        <w:t xml:space="preserve"> Backend Collector</w:t>
      </w:r>
    </w:p>
    <w:p w:rsidR="00236EA3" w:rsidRPr="00236EA3" w:rsidRDefault="00236EA3" w:rsidP="00BF367C">
      <w:pPr>
        <w:spacing w:after="27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>Identified and contacted past-due account holders by telephone or in writing and requested payment to bring account current.</w:t>
      </w:r>
      <w:r w:rsidR="00BF367C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F367C" w:rsidRPr="00BF367C">
        <w:rPr>
          <w:rFonts w:ascii="Calibri" w:eastAsia="Times New Roman" w:hAnsi="Calibri" w:cs="Times New Roman"/>
          <w:b/>
          <w:sz w:val="20"/>
          <w:szCs w:val="20"/>
          <w:u w:val="single"/>
        </w:rPr>
        <w:t>Same job description as Citi-Financial</w:t>
      </w:r>
      <w:r w:rsidR="00BF367C">
        <w:rPr>
          <w:rFonts w:ascii="Calibri" w:eastAsia="Times New Roman" w:hAnsi="Calibri" w:cs="Times New Roman"/>
          <w:sz w:val="20"/>
          <w:szCs w:val="20"/>
        </w:rPr>
        <w:t>.</w:t>
      </w:r>
    </w:p>
    <w:p w:rsidR="00236EA3" w:rsidRPr="00236EA3" w:rsidRDefault="00236EA3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proofErr w:type="spellStart"/>
      <w:r w:rsidRPr="00236EA3">
        <w:rPr>
          <w:rFonts w:ascii="Calibri" w:eastAsia="Times New Roman" w:hAnsi="Calibri" w:cs="Times New Roman"/>
          <w:iCs/>
          <w:sz w:val="27"/>
        </w:rPr>
        <w:t>Ajilon</w:t>
      </w:r>
      <w:proofErr w:type="spellEnd"/>
      <w:r w:rsidRPr="00236EA3">
        <w:rPr>
          <w:rFonts w:ascii="Calibri" w:eastAsia="Times New Roman" w:hAnsi="Calibri" w:cs="Times New Roman"/>
          <w:iCs/>
          <w:sz w:val="27"/>
        </w:rPr>
        <w:t xml:space="preserve"> Finance/Coram Healthcare - Centennial, Co     </w:t>
      </w:r>
      <w:r w:rsidR="006E40F9">
        <w:rPr>
          <w:rFonts w:ascii="Calibri" w:eastAsia="Times New Roman" w:hAnsi="Calibri" w:cs="Times New Roman"/>
          <w:iCs/>
          <w:sz w:val="27"/>
        </w:rPr>
        <w:t xml:space="preserve">                 </w:t>
      </w:r>
      <w:r w:rsidRPr="00236EA3">
        <w:rPr>
          <w:rFonts w:ascii="Calibri" w:eastAsia="Times New Roman" w:hAnsi="Calibri" w:cs="Times New Roman"/>
          <w:iCs/>
          <w:sz w:val="27"/>
        </w:rPr>
        <w:t>2004 May-</w:t>
      </w:r>
      <w:r w:rsidR="00230311">
        <w:rPr>
          <w:rFonts w:ascii="Calibri" w:eastAsia="Times New Roman" w:hAnsi="Calibri" w:cs="Times New Roman"/>
          <w:iCs/>
          <w:sz w:val="27"/>
        </w:rPr>
        <w:t xml:space="preserve">2004 </w:t>
      </w:r>
      <w:r w:rsidRPr="00236EA3">
        <w:rPr>
          <w:rFonts w:ascii="Calibri" w:eastAsia="Times New Roman" w:hAnsi="Calibri" w:cs="Times New Roman"/>
          <w:iCs/>
          <w:sz w:val="27"/>
        </w:rPr>
        <w:t>June</w:t>
      </w:r>
    </w:p>
    <w:p w:rsidR="00236EA3" w:rsidRDefault="00236EA3" w:rsidP="00BF367C">
      <w:pPr>
        <w:spacing w:after="0" w:line="20" w:lineRule="atLeast"/>
        <w:rPr>
          <w:rFonts w:ascii="Calibri" w:eastAsia="Times New Roman" w:hAnsi="Calibri" w:cs="Times New Roman"/>
          <w:bCs/>
          <w:sz w:val="32"/>
          <w:szCs w:val="32"/>
        </w:rPr>
      </w:pPr>
      <w:r w:rsidRPr="00236EA3">
        <w:rPr>
          <w:rFonts w:ascii="Calibri" w:eastAsia="Times New Roman" w:hAnsi="Calibri" w:cs="Times New Roman"/>
          <w:bCs/>
          <w:sz w:val="32"/>
          <w:szCs w:val="32"/>
        </w:rPr>
        <w:t xml:space="preserve">Medical Biller </w:t>
      </w:r>
      <w:r>
        <w:rPr>
          <w:rFonts w:ascii="Calibri" w:eastAsia="Times New Roman" w:hAnsi="Calibri" w:cs="Times New Roman"/>
          <w:bCs/>
          <w:sz w:val="32"/>
          <w:szCs w:val="32"/>
        </w:rPr>
        <w:t>–</w:t>
      </w:r>
      <w:r w:rsidRPr="00236EA3">
        <w:rPr>
          <w:rFonts w:ascii="Calibri" w:eastAsia="Times New Roman" w:hAnsi="Calibri" w:cs="Times New Roman"/>
          <w:bCs/>
          <w:sz w:val="32"/>
          <w:szCs w:val="32"/>
        </w:rPr>
        <w:t xml:space="preserve"> Temporary</w:t>
      </w:r>
    </w:p>
    <w:p w:rsidR="00236EA3" w:rsidRPr="00236EA3" w:rsidRDefault="00236EA3" w:rsidP="00BF367C">
      <w:pPr>
        <w:spacing w:after="27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Work as DMERC liaison between Coram Healthcare and their </w:t>
      </w:r>
      <w:r w:rsidR="00954391" w:rsidRPr="00236EA3">
        <w:rPr>
          <w:rFonts w:ascii="Calibri" w:eastAsia="Times New Roman" w:hAnsi="Calibri" w:cs="Times New Roman"/>
          <w:sz w:val="20"/>
          <w:szCs w:val="20"/>
        </w:rPr>
        <w:t>patient’s</w:t>
      </w:r>
      <w:r w:rsidRPr="00236EA3">
        <w:rPr>
          <w:rFonts w:ascii="Calibri" w:eastAsia="Times New Roman" w:hAnsi="Calibri" w:cs="Times New Roman"/>
          <w:sz w:val="20"/>
          <w:szCs w:val="20"/>
        </w:rPr>
        <w:t xml:space="preserve"> primary and secondary insurance providers to indemnify payment from those providers.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Work with Medicare and Medicaid to verify/guarantee full payment for in-house patient care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Work with secondary insurance to cover unpaid expenses on EOB by Medicare/Medicaid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Ensure timely filing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Assure proper billing by: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Verifying patient information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lastRenderedPageBreak/>
        <w:t xml:space="preserve">Confirming correct medical equipment shipped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Receiving and applying any monies to correct accounts </w:t>
      </w:r>
    </w:p>
    <w:p w:rsidR="00236EA3" w:rsidRPr="00236EA3" w:rsidRDefault="00236EA3" w:rsidP="00BF367C">
      <w:pPr>
        <w:numPr>
          <w:ilvl w:val="0"/>
          <w:numId w:val="6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236EA3">
        <w:rPr>
          <w:rFonts w:ascii="Calibri" w:eastAsia="Times New Roman" w:hAnsi="Calibri" w:cs="Times New Roman"/>
          <w:sz w:val="20"/>
          <w:szCs w:val="20"/>
        </w:rPr>
        <w:t xml:space="preserve">W/U or W/O accounts if necessary </w:t>
      </w:r>
    </w:p>
    <w:p w:rsidR="00236EA3" w:rsidRPr="006E40F9" w:rsidRDefault="00236EA3" w:rsidP="00BF367C">
      <w:pPr>
        <w:pStyle w:val="ListParagraph"/>
        <w:numPr>
          <w:ilvl w:val="0"/>
          <w:numId w:val="6"/>
        </w:numPr>
        <w:spacing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Sending out invoice if necessary</w:t>
      </w:r>
    </w:p>
    <w:p w:rsidR="00236EA3" w:rsidRDefault="00236EA3" w:rsidP="00BF367C">
      <w:pPr>
        <w:spacing w:after="0" w:line="20" w:lineRule="atLeast"/>
        <w:rPr>
          <w:rFonts w:ascii="Calibri" w:eastAsia="Times New Roman" w:hAnsi="Calibri" w:cs="Times New Roman"/>
          <w:iCs/>
          <w:sz w:val="27"/>
        </w:rPr>
      </w:pPr>
      <w:proofErr w:type="spellStart"/>
      <w:r w:rsidRPr="00236EA3">
        <w:rPr>
          <w:rFonts w:ascii="Calibri" w:eastAsia="Times New Roman" w:hAnsi="Calibri" w:cs="Times New Roman"/>
          <w:iCs/>
          <w:sz w:val="27"/>
        </w:rPr>
        <w:t>Ajilon</w:t>
      </w:r>
      <w:proofErr w:type="spellEnd"/>
      <w:r w:rsidRPr="00236EA3">
        <w:rPr>
          <w:rFonts w:ascii="Calibri" w:eastAsia="Times New Roman" w:hAnsi="Calibri" w:cs="Times New Roman"/>
          <w:iCs/>
          <w:sz w:val="27"/>
        </w:rPr>
        <w:t xml:space="preserve"> Finance/Georgia Pacific</w:t>
      </w:r>
      <w:r w:rsidR="006E40F9">
        <w:rPr>
          <w:rFonts w:ascii="Calibri" w:eastAsia="Times New Roman" w:hAnsi="Calibri" w:cs="Times New Roman"/>
          <w:iCs/>
          <w:sz w:val="27"/>
        </w:rPr>
        <w:t xml:space="preserve"> – Centennial, Co</w:t>
      </w:r>
      <w:r w:rsidRPr="00236EA3">
        <w:rPr>
          <w:rFonts w:ascii="Calibri" w:eastAsia="Times New Roman" w:hAnsi="Calibri" w:cs="Times New Roman"/>
          <w:iCs/>
          <w:sz w:val="27"/>
        </w:rPr>
        <w:t xml:space="preserve">               </w:t>
      </w:r>
      <w:r w:rsidR="00230311">
        <w:rPr>
          <w:rFonts w:ascii="Calibri" w:eastAsia="Times New Roman" w:hAnsi="Calibri" w:cs="Times New Roman"/>
          <w:iCs/>
          <w:sz w:val="27"/>
        </w:rPr>
        <w:t xml:space="preserve">      </w:t>
      </w:r>
      <w:r w:rsidRPr="00236EA3">
        <w:rPr>
          <w:rFonts w:ascii="Calibri" w:eastAsia="Times New Roman" w:hAnsi="Calibri" w:cs="Times New Roman"/>
          <w:iCs/>
          <w:sz w:val="27"/>
        </w:rPr>
        <w:t xml:space="preserve">2004 </w:t>
      </w:r>
      <w:proofErr w:type="spellStart"/>
      <w:r w:rsidRPr="00236EA3">
        <w:rPr>
          <w:rFonts w:ascii="Calibri" w:eastAsia="Times New Roman" w:hAnsi="Calibri" w:cs="Times New Roman"/>
          <w:iCs/>
          <w:sz w:val="27"/>
        </w:rPr>
        <w:t>Janurary</w:t>
      </w:r>
      <w:proofErr w:type="spellEnd"/>
      <w:r w:rsidRPr="00236EA3">
        <w:rPr>
          <w:rFonts w:ascii="Calibri" w:eastAsia="Times New Roman" w:hAnsi="Calibri" w:cs="Times New Roman"/>
          <w:iCs/>
          <w:sz w:val="27"/>
        </w:rPr>
        <w:t xml:space="preserve"> </w:t>
      </w:r>
      <w:r>
        <w:rPr>
          <w:rFonts w:ascii="Calibri" w:eastAsia="Times New Roman" w:hAnsi="Calibri" w:cs="Times New Roman"/>
          <w:iCs/>
          <w:sz w:val="27"/>
        </w:rPr>
        <w:t>–</w:t>
      </w:r>
      <w:r w:rsidR="00230311">
        <w:rPr>
          <w:rFonts w:ascii="Calibri" w:eastAsia="Times New Roman" w:hAnsi="Calibri" w:cs="Times New Roman"/>
          <w:iCs/>
          <w:sz w:val="27"/>
        </w:rPr>
        <w:t xml:space="preserve"> 2004</w:t>
      </w:r>
      <w:r w:rsidRPr="00236EA3">
        <w:rPr>
          <w:rFonts w:ascii="Calibri" w:eastAsia="Times New Roman" w:hAnsi="Calibri" w:cs="Times New Roman"/>
          <w:iCs/>
          <w:sz w:val="27"/>
        </w:rPr>
        <w:t xml:space="preserve"> April</w:t>
      </w:r>
    </w:p>
    <w:p w:rsidR="00236EA3" w:rsidRDefault="00236EA3" w:rsidP="00BF367C">
      <w:pPr>
        <w:spacing w:after="0" w:line="240" w:lineRule="auto"/>
        <w:rPr>
          <w:rFonts w:ascii="Calibri" w:eastAsia="Times New Roman" w:hAnsi="Calibri" w:cs="Times New Roman"/>
          <w:iCs/>
          <w:sz w:val="32"/>
          <w:szCs w:val="32"/>
        </w:rPr>
      </w:pPr>
      <w:r w:rsidRPr="006E40F9">
        <w:rPr>
          <w:rFonts w:ascii="Calibri" w:eastAsia="Times New Roman" w:hAnsi="Calibri" w:cs="Times New Roman"/>
          <w:iCs/>
          <w:sz w:val="32"/>
          <w:szCs w:val="32"/>
        </w:rPr>
        <w:t>Credit Analyst</w:t>
      </w:r>
    </w:p>
    <w:p w:rsidR="006E40F9" w:rsidRPr="006E40F9" w:rsidRDefault="006E40F9" w:rsidP="00BF367C">
      <w:pPr>
        <w:spacing w:after="270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Analyze potential customer by reviewing financial statements, bank referrals, trade referrals, and D&amp;B reports to determine credit worthiness.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Liaison between sales department and customer to determine needs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Review existing accounts: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Pay history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Growth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Credit needs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Review collection accounts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Determine credit line amounts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Set-up and maintain credit accounts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Handle, decide and create local and national accounts with credit authorization from $10K-500K </w:t>
      </w:r>
    </w:p>
    <w:p w:rsidR="006E40F9" w:rsidRPr="006E40F9" w:rsidRDefault="006E40F9" w:rsidP="00BF367C">
      <w:pPr>
        <w:numPr>
          <w:ilvl w:val="0"/>
          <w:numId w:val="7"/>
        </w:numPr>
        <w:spacing w:before="100" w:beforeAutospacing="1" w:after="100" w:afterAutospacing="1" w:line="20" w:lineRule="atLeast"/>
        <w:rPr>
          <w:rFonts w:ascii="Calibri" w:eastAsia="Times New Roman" w:hAnsi="Calibri" w:cs="Times New Roman"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 xml:space="preserve">Initiate collections process and follow-up </w:t>
      </w:r>
    </w:p>
    <w:p w:rsidR="006E40F9" w:rsidRPr="006E40F9" w:rsidRDefault="006E40F9" w:rsidP="00BF367C">
      <w:pPr>
        <w:pStyle w:val="ListParagraph"/>
        <w:numPr>
          <w:ilvl w:val="0"/>
          <w:numId w:val="7"/>
        </w:numPr>
        <w:spacing w:line="20" w:lineRule="atLeast"/>
        <w:rPr>
          <w:rFonts w:ascii="Calibri" w:eastAsia="Times New Roman" w:hAnsi="Calibri" w:cs="Times New Roman"/>
          <w:iCs/>
          <w:sz w:val="20"/>
          <w:szCs w:val="20"/>
        </w:rPr>
      </w:pPr>
      <w:r w:rsidRPr="006E40F9">
        <w:rPr>
          <w:rFonts w:ascii="Calibri" w:eastAsia="Times New Roman" w:hAnsi="Calibri" w:cs="Times New Roman"/>
          <w:sz w:val="20"/>
          <w:szCs w:val="20"/>
        </w:rPr>
        <w:t>Work with proprietary programs to store and manipulate data</w:t>
      </w:r>
    </w:p>
    <w:p w:rsidR="006E40F9" w:rsidRDefault="006E40F9" w:rsidP="00BF367C">
      <w:pPr>
        <w:spacing w:line="20" w:lineRule="atLeast"/>
      </w:pPr>
      <w:r>
        <w:rPr>
          <w:rFonts w:ascii="Calibri" w:eastAsia="Times New Roman" w:hAnsi="Calibri" w:cs="Times New Roman"/>
          <w:iCs/>
          <w:sz w:val="27"/>
          <w:szCs w:val="27"/>
        </w:rPr>
        <w:t>_____________________________________________________________________</w:t>
      </w:r>
    </w:p>
    <w:p w:rsidR="006E40F9" w:rsidRPr="006E40F9" w:rsidRDefault="006E40F9" w:rsidP="00BF367C">
      <w:pPr>
        <w:pBdr>
          <w:bottom w:val="single" w:sz="12" w:space="1" w:color="auto"/>
        </w:pBdr>
        <w:spacing w:line="20" w:lineRule="atLeast"/>
        <w:jc w:val="center"/>
        <w:rPr>
          <w:rFonts w:ascii="Calibri" w:eastAsia="Times New Roman" w:hAnsi="Calibri" w:cs="Times New Roman"/>
          <w:b/>
          <w:iCs/>
          <w:sz w:val="32"/>
          <w:szCs w:val="32"/>
        </w:rPr>
      </w:pPr>
      <w:r w:rsidRPr="006E40F9">
        <w:rPr>
          <w:rFonts w:ascii="Calibri" w:eastAsia="Times New Roman" w:hAnsi="Calibri" w:cs="Times New Roman"/>
          <w:b/>
          <w:iCs/>
          <w:sz w:val="32"/>
          <w:szCs w:val="32"/>
        </w:rPr>
        <w:t>EDUCATION</w:t>
      </w:r>
    </w:p>
    <w:p w:rsidR="006E40F9" w:rsidRDefault="006E40F9" w:rsidP="00BF367C">
      <w:pPr>
        <w:spacing w:line="20" w:lineRule="atLeast"/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6E40F9" w:rsidRPr="006E40F9" w:rsidRDefault="006E40F9" w:rsidP="00BF367C">
      <w:pPr>
        <w:spacing w:line="20" w:lineRule="atLeast"/>
        <w:jc w:val="center"/>
        <w:rPr>
          <w:rFonts w:ascii="Calibri" w:eastAsia="Times New Roman" w:hAnsi="Calibri" w:cs="Times New Roman"/>
          <w:iCs/>
          <w:sz w:val="20"/>
          <w:szCs w:val="20"/>
        </w:rPr>
      </w:pPr>
      <w:r w:rsidRPr="006554A4">
        <w:rPr>
          <w:rFonts w:ascii="Verdana" w:eastAsia="Times New Roman" w:hAnsi="Verdana" w:cs="Times New Roman"/>
          <w:b/>
          <w:bCs/>
          <w:sz w:val="27"/>
        </w:rPr>
        <w:t xml:space="preserve">University of Southern Colorado </w:t>
      </w:r>
      <w:r w:rsidRPr="006554A4">
        <w:rPr>
          <w:rFonts w:ascii="Verdana" w:eastAsia="Times New Roman" w:hAnsi="Verdana" w:cs="Times New Roman"/>
          <w:i/>
          <w:iCs/>
          <w:sz w:val="27"/>
          <w:szCs w:val="27"/>
        </w:rPr>
        <w:br/>
      </w:r>
      <w:r w:rsidRPr="006554A4">
        <w:rPr>
          <w:rFonts w:ascii="Verdana" w:eastAsia="Times New Roman" w:hAnsi="Verdana" w:cs="Times New Roman"/>
          <w:i/>
          <w:iCs/>
          <w:sz w:val="27"/>
        </w:rPr>
        <w:t>Pueblo, Co</w:t>
      </w:r>
      <w:r w:rsidRPr="006554A4">
        <w:rPr>
          <w:rFonts w:ascii="Verdana" w:eastAsia="Times New Roman" w:hAnsi="Verdana" w:cs="Times New Roman"/>
          <w:i/>
          <w:iCs/>
          <w:sz w:val="27"/>
          <w:szCs w:val="27"/>
        </w:rPr>
        <w:br/>
      </w:r>
      <w:r w:rsidRPr="006554A4">
        <w:rPr>
          <w:rFonts w:ascii="Verdana" w:eastAsia="Times New Roman" w:hAnsi="Verdana" w:cs="Times New Roman"/>
          <w:i/>
          <w:iCs/>
          <w:sz w:val="27"/>
        </w:rPr>
        <w:t>BSBA / Minor in Finance</w:t>
      </w:r>
    </w:p>
    <w:p w:rsidR="00236EA3" w:rsidRPr="00236EA3" w:rsidRDefault="00236EA3" w:rsidP="00BF367C">
      <w:pPr>
        <w:spacing w:line="20" w:lineRule="atLeast"/>
        <w:rPr>
          <w:rFonts w:ascii="Calibri" w:hAnsi="Calibri"/>
          <w:sz w:val="20"/>
          <w:szCs w:val="20"/>
        </w:rPr>
      </w:pPr>
      <w:r w:rsidRPr="00236EA3">
        <w:rPr>
          <w:rFonts w:ascii="Calibri" w:eastAsia="Times New Roman" w:hAnsi="Calibri" w:cs="Times New Roman"/>
          <w:iCs/>
          <w:sz w:val="27"/>
          <w:szCs w:val="27"/>
        </w:rPr>
        <w:br/>
      </w:r>
    </w:p>
    <w:p w:rsidR="003A4139" w:rsidRPr="003A4139" w:rsidRDefault="003A4139" w:rsidP="003A4139">
      <w:pPr>
        <w:jc w:val="center"/>
        <w:rPr>
          <w:sz w:val="20"/>
          <w:szCs w:val="20"/>
        </w:rPr>
      </w:pPr>
    </w:p>
    <w:sectPr w:rsidR="003A4139" w:rsidRPr="003A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B05D1"/>
    <w:multiLevelType w:val="hybridMultilevel"/>
    <w:tmpl w:val="E228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4BBE"/>
    <w:multiLevelType w:val="multilevel"/>
    <w:tmpl w:val="FD7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E5225"/>
    <w:multiLevelType w:val="multilevel"/>
    <w:tmpl w:val="135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C0EFD"/>
    <w:multiLevelType w:val="multilevel"/>
    <w:tmpl w:val="473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C1058"/>
    <w:multiLevelType w:val="multilevel"/>
    <w:tmpl w:val="737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8467B"/>
    <w:multiLevelType w:val="multilevel"/>
    <w:tmpl w:val="307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51973"/>
    <w:multiLevelType w:val="multilevel"/>
    <w:tmpl w:val="01E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44"/>
    <w:rsid w:val="00230311"/>
    <w:rsid w:val="00236EA3"/>
    <w:rsid w:val="002569B9"/>
    <w:rsid w:val="002D295D"/>
    <w:rsid w:val="003A4139"/>
    <w:rsid w:val="003C25AB"/>
    <w:rsid w:val="004443BD"/>
    <w:rsid w:val="006E40F9"/>
    <w:rsid w:val="00890006"/>
    <w:rsid w:val="008E2172"/>
    <w:rsid w:val="00954391"/>
    <w:rsid w:val="00AF5C24"/>
    <w:rsid w:val="00BD46F2"/>
    <w:rsid w:val="00BF367C"/>
    <w:rsid w:val="00C12737"/>
    <w:rsid w:val="00CA016F"/>
    <w:rsid w:val="00D81844"/>
    <w:rsid w:val="00D90E56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41315-128A-426C-B3A0-BEE3800F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8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trma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MONTOYA</dc:creator>
  <cp:keywords/>
  <dc:description/>
  <cp:lastModifiedBy>JUDE MONTOYA</cp:lastModifiedBy>
  <cp:revision>5</cp:revision>
  <dcterms:created xsi:type="dcterms:W3CDTF">2013-10-24T22:19:00Z</dcterms:created>
  <dcterms:modified xsi:type="dcterms:W3CDTF">2013-11-12T18:37:00Z</dcterms:modified>
</cp:coreProperties>
</file>