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03CD" w:rsidRPr="00BC03CD" w:rsidRDefault="00BC03CD" w:rsidP="00BC03CD">
      <w:pPr>
        <w:keepNext/>
        <w:keepLines/>
        <w:tabs>
          <w:tab w:val="center" w:pos="4680"/>
        </w:tabs>
        <w:spacing w:before="120"/>
        <w:rPr>
          <w:rFonts w:ascii="Arial" w:hAnsi="Arial"/>
          <w:b/>
          <w:bCs/>
          <w:sz w:val="28"/>
          <w:szCs w:val="20"/>
        </w:rPr>
      </w:pPr>
      <w:r w:rsidRPr="00BC03CD">
        <w:rPr>
          <w:rFonts w:ascii="Arial" w:hAnsi="Arial"/>
          <w:b/>
          <w:bCs/>
          <w:sz w:val="28"/>
          <w:szCs w:val="20"/>
        </w:rPr>
        <w:tab/>
        <w:t>Michael E. Mitchell</w:t>
      </w:r>
    </w:p>
    <w:p w:rsidR="00BC03CD" w:rsidRPr="00BC03CD" w:rsidRDefault="00BC03CD" w:rsidP="00BC03CD">
      <w:pPr>
        <w:keepNext/>
        <w:keepLines/>
        <w:spacing w:before="60"/>
        <w:jc w:val="center"/>
        <w:rPr>
          <w:rFonts w:ascii="Arial" w:hAnsi="Arial"/>
          <w:b/>
          <w:sz w:val="20"/>
        </w:rPr>
      </w:pPr>
      <w:smartTag w:uri="urn:schemas-microsoft-com:office:smarttags" w:element="Street">
        <w:smartTag w:uri="urn:schemas-microsoft-com:office:smarttags" w:element="address">
          <w:r w:rsidRPr="00BC03CD">
            <w:rPr>
              <w:rFonts w:ascii="Arial" w:hAnsi="Arial"/>
              <w:b/>
              <w:sz w:val="20"/>
            </w:rPr>
            <w:t>21774 Leatherleaf Circle</w:t>
          </w:r>
        </w:smartTag>
      </w:smartTag>
      <w:r w:rsidRPr="00BC03CD">
        <w:rPr>
          <w:rFonts w:ascii="Arial" w:hAnsi="Arial"/>
          <w:b/>
          <w:sz w:val="20"/>
        </w:rPr>
        <w:t xml:space="preserve">  </w:t>
      </w:r>
      <w:r w:rsidRPr="00BC03CD">
        <w:rPr>
          <w:rFonts w:ascii="Arial" w:hAnsi="Arial" w:cs="Arial"/>
          <w:b/>
          <w:sz w:val="20"/>
        </w:rPr>
        <w:t>▪</w:t>
      </w:r>
      <w:r w:rsidRPr="00BC03CD">
        <w:rPr>
          <w:rFonts w:ascii="Arial" w:hAnsi="Arial"/>
          <w:b/>
          <w:sz w:val="20"/>
        </w:rPr>
        <w:t xml:space="preserve">  </w:t>
      </w:r>
      <w:smartTag w:uri="urn:schemas-microsoft-com:office:smarttags" w:element="place">
        <w:smartTag w:uri="urn:schemas-microsoft-com:office:smarttags" w:element="City">
          <w:r w:rsidRPr="00BC03CD">
            <w:rPr>
              <w:rFonts w:ascii="Arial" w:hAnsi="Arial"/>
              <w:b/>
              <w:sz w:val="20"/>
            </w:rPr>
            <w:t>Sterling</w:t>
          </w:r>
        </w:smartTag>
        <w:r w:rsidRPr="00BC03CD">
          <w:rPr>
            <w:rFonts w:ascii="Arial" w:hAnsi="Arial"/>
            <w:b/>
            <w:sz w:val="20"/>
          </w:rPr>
          <w:t xml:space="preserve">, </w:t>
        </w:r>
        <w:smartTag w:uri="urn:schemas-microsoft-com:office:smarttags" w:element="State">
          <w:r w:rsidRPr="00BC03CD">
            <w:rPr>
              <w:rFonts w:ascii="Arial" w:hAnsi="Arial"/>
              <w:b/>
              <w:sz w:val="20"/>
            </w:rPr>
            <w:t>VA</w:t>
          </w:r>
        </w:smartTag>
        <w:r w:rsidRPr="00BC03CD">
          <w:rPr>
            <w:rFonts w:ascii="Arial" w:hAnsi="Arial"/>
            <w:b/>
            <w:sz w:val="20"/>
          </w:rPr>
          <w:t xml:space="preserve"> </w:t>
        </w:r>
        <w:smartTag w:uri="urn:schemas-microsoft-com:office:smarttags" w:element="PostalCode">
          <w:r w:rsidRPr="00BC03CD">
            <w:rPr>
              <w:rFonts w:ascii="Arial" w:hAnsi="Arial"/>
              <w:b/>
              <w:sz w:val="20"/>
            </w:rPr>
            <w:t>20164</w:t>
          </w:r>
        </w:smartTag>
      </w:smartTag>
    </w:p>
    <w:p w:rsidR="00BC03CD" w:rsidRPr="00BC03CD" w:rsidRDefault="00BC03CD" w:rsidP="00BC03CD">
      <w:pPr>
        <w:keepNext/>
        <w:keepLines/>
        <w:spacing w:before="60"/>
        <w:jc w:val="center"/>
        <w:rPr>
          <w:rFonts w:ascii="Arial" w:hAnsi="Arial"/>
          <w:b/>
          <w:sz w:val="20"/>
        </w:rPr>
      </w:pPr>
      <w:r w:rsidRPr="00BC03CD">
        <w:rPr>
          <w:rFonts w:ascii="Arial" w:hAnsi="Arial"/>
          <w:b/>
          <w:sz w:val="20"/>
        </w:rPr>
        <w:t xml:space="preserve">voice:  703.956.9211  </w:t>
      </w:r>
      <w:r w:rsidRPr="00BC03CD">
        <w:rPr>
          <w:rFonts w:ascii="Arial" w:hAnsi="Arial" w:cs="Arial"/>
          <w:b/>
          <w:sz w:val="20"/>
        </w:rPr>
        <w:t xml:space="preserve">▪ </w:t>
      </w:r>
      <w:r w:rsidRPr="00BC03CD">
        <w:rPr>
          <w:rFonts w:ascii="Arial" w:hAnsi="Arial"/>
          <w:b/>
          <w:sz w:val="20"/>
        </w:rPr>
        <w:t xml:space="preserve"> cell:  703.929.7611  </w:t>
      </w:r>
      <w:r w:rsidRPr="00BC03CD">
        <w:rPr>
          <w:rFonts w:ascii="Arial" w:hAnsi="Arial" w:cs="Arial"/>
          <w:b/>
          <w:sz w:val="20"/>
        </w:rPr>
        <w:t>▪</w:t>
      </w:r>
      <w:r w:rsidRPr="00BC03CD">
        <w:rPr>
          <w:rFonts w:ascii="Arial" w:hAnsi="Arial"/>
          <w:b/>
          <w:sz w:val="20"/>
        </w:rPr>
        <w:t xml:space="preserve">  e-mail:  Michael_</w:t>
      </w:r>
      <w:r w:rsidR="008A3A9A">
        <w:rPr>
          <w:rFonts w:ascii="Arial" w:hAnsi="Arial"/>
          <w:b/>
          <w:sz w:val="20"/>
        </w:rPr>
        <w:t>M</w:t>
      </w:r>
      <w:r w:rsidRPr="00BC03CD">
        <w:rPr>
          <w:rFonts w:ascii="Arial" w:hAnsi="Arial"/>
          <w:b/>
          <w:sz w:val="20"/>
        </w:rPr>
        <w:t>itchell2@yahoo.com</w:t>
      </w:r>
    </w:p>
    <w:p w:rsidR="00BC03CD" w:rsidRPr="00BC03CD" w:rsidRDefault="00BC03CD" w:rsidP="00BC03CD">
      <w:pPr>
        <w:spacing w:before="80" w:after="80"/>
        <w:rPr>
          <w:rFonts w:ascii="Arial" w:hAnsi="Arial" w:cs="Arial"/>
          <w:b/>
          <w:sz w:val="18"/>
        </w:rPr>
      </w:pPr>
      <w:r w:rsidRPr="00BC03CD">
        <w:rPr>
          <w:rFonts w:ascii="Arial" w:hAnsi="Arial" w:cs="Arial"/>
          <w:b/>
          <w:sz w:val="18"/>
        </w:rPr>
        <w:t>• • • • • • • • • • • • • • • • • • • • • • • • • • • • • • • • • • • • • • • • • • • • • • • • • • • • • • • • • • • • • • • • • • • • • • • • • • • • • • • • • • •</w:t>
      </w:r>
    </w:p>
    <w:p w:rsidR="00BC03CD" w:rsidRPr="00BC03CD" w:rsidRDefault="00BC03CD" w:rsidP="00BC03CD">
      <w:pPr>
        <w:keepNext/>
        <w:keepLines/>
        <w:shd w:val="solid" w:color="auto" w:fill="auto"/>
        <w:spacing w:before="260" w:after="60"/>
        <w:jc w:val="center"/>
        <w:rPr>
          <w:rFonts w:ascii="Arial" w:hAnsi="Arial" w:cs="Arial"/>
          <w:b/>
          <w:color w:val="FFFFFF"/>
          <w:sz w:val="22"/>
        </w:rPr>
      </w:pPr>
      <w:bookmarkStart w:id="0" w:name="OLE_LINK1"/>
      <w:bookmarkStart w:id="1" w:name="OLE_LINK2"/>
      <w:r w:rsidRPr="00BC03CD">
        <w:rPr>
          <w:rFonts w:ascii="Arial" w:hAnsi="Arial" w:cs="Arial"/>
          <w:b/>
          <w:color w:val="FFFFFF"/>
          <w:sz w:val="22"/>
        </w:rPr>
        <w:t>Proven Performance</w:t>
      </w:r>
      <w:bookmarkEnd w:id="0"/>
      <w:bookmarkEnd w:id="1"/>
    </w:p>
    <w:p w:rsidR="00BC03CD" w:rsidRPr="00BC03CD" w:rsidRDefault="00BC03CD" w:rsidP="00BC03CD">
      <w:pPr>
        <w:pStyle w:val="ListBullet01"/>
        <w:tabs>
          <w:tab w:val="clear" w:pos="1710"/>
          <w:tab w:val="num" w:pos="360"/>
        </w:tabs>
        <w:spacing w:before="0"/>
        <w:ind w:left="360"/>
      </w:pPr>
      <w:r w:rsidRPr="00BC03CD">
        <w:t>1 of 14 individuals worldwide who can provide support on Visa’s dispute resolution tool, Visa Resolve Online (VROL)</w:t>
      </w:r>
    </w:p>
    <w:p w:rsidR="00BC03CD" w:rsidRPr="00BC03CD" w:rsidRDefault="00BC03CD" w:rsidP="00BC03CD">
      <w:pPr>
        <w:pStyle w:val="ListBullet01"/>
        <w:tabs>
          <w:tab w:val="clear" w:pos="1710"/>
          <w:tab w:val="num" w:pos="360"/>
        </w:tabs>
        <w:spacing w:before="0"/>
        <w:ind w:left="360"/>
      </w:pPr>
      <w:r w:rsidRPr="00BC03CD">
        <w:t xml:space="preserve">Entrusted by Visa with support of critical clients (TSYS, Fiserv EFT, U.S. Bank, Élan Financial Services, Citishare) </w:t>
      </w:r>
    </w:p>
    <w:p w:rsidR="00BC03CD" w:rsidRPr="00BC03CD" w:rsidRDefault="00BC03CD" w:rsidP="00BC03CD">
      <w:pPr>
        <w:pStyle w:val="ListBullet01"/>
        <w:tabs>
          <w:tab w:val="clear" w:pos="1710"/>
          <w:tab w:val="num" w:pos="360"/>
        </w:tabs>
        <w:spacing w:before="0"/>
        <w:ind w:left="360"/>
      </w:pPr>
      <w:r w:rsidRPr="00BC03CD">
        <w:t>Participates in major conversion / migrations (e.g.  Chevy Chase to Capital One,  Visa Exceptions to VROL, Transaction tool to VROL)</w:t>
      </w:r>
    </w:p>
    <w:p w:rsidR="00BC03CD" w:rsidRPr="00BC03CD" w:rsidRDefault="00BC03CD" w:rsidP="00BC03CD">
      <w:pPr>
        <w:tabs>
          <w:tab w:val="left" w:pos="720"/>
        </w:tabs>
        <w:spacing w:before="80"/>
        <w:ind w:left="360"/>
        <w:rPr>
          <w:rFonts w:ascii="Arial" w:hAnsi="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BC03CD" w:rsidRPr="00BC03CD" w:rsidTr="00CC2566">
        <w:tc>
          <w:tcPr>
            <w:tcW w:w="4788" w:type="dxa"/>
            <w:shd w:val="clear" w:color="auto" w:fill="auto"/>
          </w:tcPr>
          <w:p w:rsidR="00BC03CD" w:rsidRPr="00BC03CD" w:rsidRDefault="00BC03CD" w:rsidP="00BC03CD">
            <w:pPr>
              <w:tabs>
                <w:tab w:val="left" w:pos="720"/>
              </w:tabs>
              <w:spacing w:before="80"/>
              <w:ind w:left="360"/>
              <w:rPr>
                <w:rFonts w:ascii="Arial" w:hAnsi="Arial"/>
                <w:sz w:val="20"/>
              </w:rPr>
            </w:pPr>
            <w:r w:rsidRPr="00BC03CD">
              <w:rPr>
                <w:rFonts w:ascii="Arial" w:hAnsi="Arial"/>
                <w:sz w:val="20"/>
              </w:rPr>
              <w:t>Proven Performance</w:t>
            </w:r>
          </w:p>
        </w:tc>
        <w:tc>
          <w:tcPr>
            <w:tcW w:w="4788" w:type="dxa"/>
            <w:shd w:val="clear" w:color="auto" w:fill="auto"/>
          </w:tcPr>
          <w:p w:rsidR="00BC03CD" w:rsidRPr="00BC03CD" w:rsidRDefault="00BC03CD" w:rsidP="00BC03CD">
            <w:pPr>
              <w:tabs>
                <w:tab w:val="left" w:pos="720"/>
              </w:tabs>
              <w:spacing w:before="80"/>
              <w:ind w:left="360"/>
              <w:rPr>
                <w:rFonts w:ascii="Arial" w:hAnsi="Arial"/>
                <w:sz w:val="20"/>
              </w:rPr>
            </w:pPr>
            <w:r w:rsidRPr="00BC03CD">
              <w:rPr>
                <w:rFonts w:ascii="Arial" w:hAnsi="Arial"/>
                <w:sz w:val="20"/>
              </w:rPr>
              <w:t>Peer Recognition</w:t>
            </w:r>
          </w:p>
        </w:tc>
      </w:tr>
      <w:tr w:rsidR="00BC03CD" w:rsidRPr="00BC03CD" w:rsidTr="00CC2566">
        <w:tc>
          <w:tcPr>
            <w:tcW w:w="4788" w:type="dxa"/>
            <w:shd w:val="clear" w:color="auto" w:fill="auto"/>
          </w:tcPr>
          <w:p w:rsidR="00BC03CD" w:rsidRPr="00BC03CD" w:rsidRDefault="00BC03CD" w:rsidP="00BC03CD">
            <w:pPr>
              <w:tabs>
                <w:tab w:val="left" w:pos="720"/>
              </w:tabs>
              <w:spacing w:before="80"/>
              <w:rPr>
                <w:rFonts w:ascii="Arial" w:hAnsi="Arial"/>
                <w:sz w:val="20"/>
              </w:rPr>
            </w:pPr>
            <w:r w:rsidRPr="00BC03CD">
              <w:rPr>
                <w:rFonts w:ascii="Arial" w:hAnsi="Arial"/>
                <w:sz w:val="20"/>
              </w:rPr>
              <w:t>Project to correct outdated and inaccurate data in the Service Activation Guide for VROL. The project enables project managers and operational staff to correctly configure new and existing clients in VROL</w:t>
            </w:r>
          </w:p>
        </w:tc>
        <w:tc>
          <w:tcPr>
            <w:tcW w:w="4788" w:type="dxa"/>
            <w:shd w:val="clear" w:color="auto" w:fill="auto"/>
          </w:tcPr>
          <w:p w:rsidR="00BC03CD" w:rsidRPr="00BC03CD" w:rsidRDefault="00BC03CD" w:rsidP="00BC03CD">
            <w:pPr>
              <w:tabs>
                <w:tab w:val="left" w:pos="720"/>
              </w:tabs>
              <w:spacing w:before="80"/>
              <w:rPr>
                <w:rFonts w:ascii="Arial" w:hAnsi="Arial"/>
                <w:sz w:val="18"/>
                <w:szCs w:val="18"/>
              </w:rPr>
            </w:pPr>
            <w:r w:rsidRPr="00BC03CD">
              <w:rPr>
                <w:rFonts w:ascii="Arial" w:hAnsi="Arial"/>
                <w:i/>
                <w:sz w:val="18"/>
                <w:szCs w:val="18"/>
              </w:rPr>
              <w:t>Michael, I would like to thank you again for all of your support! I enjoy working with you and I believe that your knowledge of Visa and your knowledge of the Visa Resolve Online configuration allowed us to do just what we set out to do! –  Leslie Keller, Senior Product Manager</w:t>
            </w:r>
          </w:p>
          <w:p w:rsidR="00BC03CD" w:rsidRPr="00BC03CD" w:rsidRDefault="00BC03CD" w:rsidP="00BC03CD">
            <w:pPr>
              <w:tabs>
                <w:tab w:val="left" w:pos="720"/>
              </w:tabs>
              <w:spacing w:before="80"/>
              <w:ind w:left="360"/>
              <w:rPr>
                <w:rFonts w:ascii="Arial" w:hAnsi="Arial"/>
                <w:sz w:val="20"/>
              </w:rPr>
            </w:pPr>
          </w:p>
        </w:tc>
      </w:tr>
      <w:tr w:rsidR="00BC03CD" w:rsidRPr="00BC03CD" w:rsidTr="00CC2566">
        <w:tc>
          <w:tcPr>
            <w:tcW w:w="4788" w:type="dxa"/>
            <w:shd w:val="clear" w:color="auto" w:fill="auto"/>
          </w:tcPr>
          <w:p w:rsidR="00BC03CD" w:rsidRPr="00BC03CD" w:rsidRDefault="00BC03CD" w:rsidP="00BC03CD">
            <w:pPr>
              <w:tabs>
                <w:tab w:val="left" w:pos="720"/>
              </w:tabs>
              <w:spacing w:before="80"/>
              <w:rPr>
                <w:rFonts w:ascii="Arial" w:hAnsi="Arial"/>
                <w:sz w:val="20"/>
              </w:rPr>
            </w:pPr>
            <w:r w:rsidRPr="00BC03CD">
              <w:rPr>
                <w:rFonts w:ascii="Arial" w:hAnsi="Arial"/>
                <w:sz w:val="20"/>
              </w:rPr>
              <w:t>Project to implement a Real Time configuration for Automated Fuel merchants, using VROL to manage exception transactions (disputes or resubmissions of PIN Debit sales)</w:t>
            </w:r>
          </w:p>
        </w:tc>
        <w:tc>
          <w:tcPr>
            <w:tcW w:w="4788" w:type="dxa"/>
            <w:shd w:val="clear" w:color="auto" w:fill="auto"/>
          </w:tcPr>
          <w:p w:rsidR="00BC03CD" w:rsidRPr="00BC03CD" w:rsidRDefault="00BC03CD" w:rsidP="00BC03CD">
            <w:pPr>
              <w:tabs>
                <w:tab w:val="left" w:pos="720"/>
              </w:tabs>
              <w:spacing w:before="80"/>
              <w:rPr>
                <w:rFonts w:ascii="Arial" w:hAnsi="Arial"/>
                <w:i/>
                <w:sz w:val="18"/>
                <w:szCs w:val="18"/>
              </w:rPr>
            </w:pPr>
            <w:r w:rsidRPr="00BC03CD">
              <w:rPr>
                <w:rFonts w:ascii="Arial" w:hAnsi="Arial"/>
                <w:i/>
                <w:sz w:val="18"/>
                <w:szCs w:val="18"/>
              </w:rPr>
              <w:t>His patience and dedication in guiding the client through the setup process and ultimately doing the production setup for Worldpay will benefit Visa financially in the very short term. – Angela Thresher, Product Implementation Manager</w:t>
            </w:r>
          </w:p>
          <w:p w:rsidR="00BC03CD" w:rsidRPr="00BC03CD" w:rsidRDefault="00BC03CD" w:rsidP="00BC03CD">
            <w:pPr>
              <w:tabs>
                <w:tab w:val="left" w:pos="720"/>
              </w:tabs>
              <w:spacing w:before="80"/>
              <w:rPr>
                <w:rFonts w:ascii="Arial" w:hAnsi="Arial"/>
                <w:i/>
                <w:sz w:val="20"/>
              </w:rPr>
            </w:pPr>
          </w:p>
        </w:tc>
      </w:tr>
      <w:tr w:rsidR="00BC03CD" w:rsidRPr="00BC03CD" w:rsidTr="00CC2566">
        <w:tc>
          <w:tcPr>
            <w:tcW w:w="4788" w:type="dxa"/>
            <w:shd w:val="clear" w:color="auto" w:fill="auto"/>
          </w:tcPr>
          <w:p w:rsidR="00BC03CD" w:rsidRPr="00BC03CD" w:rsidRDefault="00BC03CD" w:rsidP="00BC03CD">
            <w:pPr>
              <w:tabs>
                <w:tab w:val="left" w:pos="720"/>
              </w:tabs>
              <w:spacing w:before="80"/>
              <w:rPr>
                <w:rFonts w:ascii="Arial" w:hAnsi="Arial"/>
                <w:sz w:val="20"/>
              </w:rPr>
            </w:pPr>
            <w:r w:rsidRPr="00BC03CD">
              <w:rPr>
                <w:rFonts w:ascii="Arial" w:hAnsi="Arial"/>
                <w:sz w:val="20"/>
              </w:rPr>
              <w:t xml:space="preserve">Conversion project to support acquisition of Chevy Chase Bank by Capital One </w:t>
            </w:r>
          </w:p>
        </w:tc>
        <w:tc>
          <w:tcPr>
            <w:tcW w:w="4788" w:type="dxa"/>
            <w:shd w:val="clear" w:color="auto" w:fill="auto"/>
          </w:tcPr>
          <w:p w:rsidR="00BC03CD" w:rsidRPr="00BC03CD" w:rsidRDefault="00BC03CD" w:rsidP="00BC03CD">
            <w:pPr>
              <w:tabs>
                <w:tab w:val="left" w:pos="720"/>
              </w:tabs>
              <w:spacing w:before="80"/>
              <w:rPr>
                <w:rFonts w:ascii="Arial" w:hAnsi="Arial"/>
                <w:i/>
                <w:sz w:val="18"/>
                <w:szCs w:val="18"/>
              </w:rPr>
            </w:pPr>
            <w:r w:rsidRPr="00BC03CD">
              <w:rPr>
                <w:rFonts w:ascii="Arial" w:hAnsi="Arial"/>
                <w:i/>
                <w:sz w:val="18"/>
                <w:szCs w:val="18"/>
              </w:rPr>
              <w:t xml:space="preserve">Mike is a great resource to have at VROL in regards to Executing Seamlessly and Cultivate Innovation. He has been a great support to me in supporting CapOne. When CapOne was converting the Chevy Chase accounts over Mike came up with a unique solution that helped bridge the CapOne </w:t>
            </w:r>
            <w:proofErr w:type="gramStart"/>
            <w:r w:rsidRPr="00BC03CD">
              <w:rPr>
                <w:rFonts w:ascii="Arial" w:hAnsi="Arial"/>
                <w:i/>
                <w:sz w:val="18"/>
                <w:szCs w:val="18"/>
              </w:rPr>
              <w:t>employees</w:t>
            </w:r>
            <w:proofErr w:type="gramEnd"/>
            <w:r w:rsidRPr="00BC03CD">
              <w:rPr>
                <w:rFonts w:ascii="Arial" w:hAnsi="Arial"/>
                <w:i/>
                <w:sz w:val="18"/>
                <w:szCs w:val="18"/>
              </w:rPr>
              <w:t xml:space="preserve"> access at TSYS and the Chevy Chase support behind Fifth Third</w:t>
            </w:r>
            <w:r w:rsidR="00EE3E94">
              <w:rPr>
                <w:rFonts w:ascii="Arial" w:hAnsi="Arial"/>
                <w:i/>
                <w:sz w:val="18"/>
                <w:szCs w:val="18"/>
              </w:rPr>
              <w:t>.</w:t>
            </w:r>
            <w:r w:rsidRPr="00BC03CD">
              <w:rPr>
                <w:rFonts w:ascii="Arial" w:hAnsi="Arial"/>
                <w:i/>
                <w:sz w:val="18"/>
                <w:szCs w:val="18"/>
              </w:rPr>
              <w:t xml:space="preserve"> – Kari Mitchum, VisaNet Account Manager</w:t>
            </w:r>
          </w:p>
          <w:p w:rsidR="00BC03CD" w:rsidRPr="00BC03CD" w:rsidRDefault="00BC03CD" w:rsidP="00BC03CD">
            <w:pPr>
              <w:tabs>
                <w:tab w:val="left" w:pos="720"/>
              </w:tabs>
              <w:spacing w:before="80"/>
              <w:ind w:left="360"/>
              <w:rPr>
                <w:rFonts w:ascii="Arial" w:hAnsi="Arial"/>
                <w:sz w:val="20"/>
              </w:rPr>
            </w:pPr>
          </w:p>
        </w:tc>
      </w:tr>
    </w:tbl>
    <w:p w:rsidR="00BC03CD" w:rsidRPr="00BC03CD" w:rsidRDefault="00BC03CD" w:rsidP="00BC03CD">
      <w:pPr>
        <w:tabs>
          <w:tab w:val="left" w:pos="720"/>
        </w:tabs>
        <w:spacing w:before="80"/>
        <w:ind w:left="360"/>
        <w:rPr>
          <w:rFonts w:ascii="Arial" w:hAnsi="Arial"/>
          <w:sz w:val="20"/>
        </w:rPr>
      </w:pPr>
    </w:p>
    <w:p w:rsidR="00BC03CD" w:rsidRPr="00BC03CD" w:rsidRDefault="00BC03CD" w:rsidP="00BC03CD">
      <w:pPr>
        <w:tabs>
          <w:tab w:val="left" w:pos="720"/>
        </w:tabs>
        <w:spacing w:before="80"/>
        <w:rPr>
          <w:rFonts w:ascii="Arial" w:hAnsi="Arial"/>
          <w:sz w:val="20"/>
        </w:rPr>
      </w:pPr>
      <w:r w:rsidRPr="00BC03CD">
        <w:rPr>
          <w:rFonts w:ascii="Arial" w:hAnsi="Arial"/>
          <w:sz w:val="20"/>
        </w:rPr>
        <w:t xml:space="preserve">Recipient of Visa’s Annual Star Award - Narrative </w:t>
      </w:r>
      <w:r w:rsidR="002861C5">
        <w:rPr>
          <w:rFonts w:ascii="Arial" w:hAnsi="Arial"/>
          <w:sz w:val="20"/>
        </w:rPr>
        <w:t xml:space="preserve"> </w:t>
      </w:r>
    </w:p>
    <w:p w:rsidR="00BC03CD" w:rsidRPr="00BC03CD" w:rsidRDefault="00BC03CD" w:rsidP="00BC03CD">
      <w:pPr>
        <w:tabs>
          <w:tab w:val="left" w:pos="720"/>
        </w:tabs>
        <w:spacing w:before="80"/>
        <w:rPr>
          <w:rFonts w:ascii="Arial" w:hAnsi="Arial"/>
          <w:sz w:val="20"/>
        </w:rPr>
      </w:pPr>
      <w:r w:rsidRPr="00BC03CD">
        <w:rPr>
          <w:rFonts w:ascii="Arial" w:hAnsi="Arial"/>
          <w:sz w:val="20"/>
        </w:rPr>
        <w:t>A willingness to help and commitment to provide exemplary service are themes echoed in the many stars received by Michael Mitchell this past year.  His knowledge of Visa and services is extensive, and Michael is always willing to share his knowledge and use his expertise to increase satisfaction and contribute to member profitability.  Michael demonstrates initiative every time he uncovers opportunities to educate and expand the knowledge of internal and external customers alike.  He always provides service with a smile, and his list of satisfied customers is long, including many Visa regions, divisions and groups, as well as Visa partners, members and processors.  The Visa organization is lucky to have a person like Michael.  His dedication to providing world-class service makes him a worthy recipient of the Annual Gold Star.</w:t>
      </w:r>
    </w:p>
    <w:p w:rsidR="00BC03CD" w:rsidRPr="00BC03CD" w:rsidRDefault="00BC03CD" w:rsidP="00BC03CD">
      <w:pPr>
        <w:keepNext/>
        <w:keepLines/>
        <w:shd w:val="solid" w:color="auto" w:fill="auto"/>
        <w:spacing w:before="260" w:after="60"/>
        <w:jc w:val="center"/>
        <w:rPr>
          <w:rFonts w:ascii="Arial" w:hAnsi="Arial" w:cs="Arial"/>
          <w:b/>
          <w:color w:val="FFFFFF"/>
          <w:sz w:val="22"/>
        </w:rPr>
      </w:pPr>
      <w:r w:rsidRPr="00BC03CD">
        <w:rPr>
          <w:rFonts w:ascii="Arial" w:hAnsi="Arial" w:cs="Arial"/>
          <w:b/>
          <w:color w:val="FFFFFF"/>
          <w:sz w:val="22"/>
        </w:rPr>
        <w:t>Technical Skills and Strengths</w:t>
      </w:r>
    </w:p>
    <w:p w:rsidR="00C90F36" w:rsidRDefault="00C90F36" w:rsidP="00C90F36">
      <w:pPr>
        <w:pStyle w:val="ListBullet01Second"/>
        <w:tabs>
          <w:tab w:val="clear" w:pos="1710"/>
          <w:tab w:val="num" w:pos="360"/>
        </w:tabs>
        <w:ind w:left="360"/>
      </w:pPr>
      <w:r>
        <w:t xml:space="preserve">Microsoft® Office 2003, </w:t>
      </w:r>
      <w:r w:rsidRPr="00DB1699">
        <w:t>2007</w:t>
      </w:r>
      <w:r>
        <w:t xml:space="preserve">, </w:t>
      </w:r>
      <w:r w:rsidRPr="00DB1699">
        <w:t>2010</w:t>
      </w:r>
      <w:r>
        <w:t xml:space="preserve">   Word, Excel, PowerPoint </w:t>
      </w:r>
    </w:p>
    <w:p w:rsidR="00C90F36" w:rsidRPr="006D0ECD" w:rsidRDefault="00C90F36" w:rsidP="00C90F36">
      <w:pPr>
        <w:pStyle w:val="ListBullet01Second"/>
        <w:tabs>
          <w:tab w:val="clear" w:pos="1710"/>
          <w:tab w:val="num" w:pos="360"/>
        </w:tabs>
        <w:ind w:left="360"/>
      </w:pPr>
      <w:r>
        <w:t>Meeting Place Weblink – ad hoc client training</w:t>
      </w:r>
    </w:p>
    <w:p w:rsidR="00C90F36" w:rsidRDefault="00C90F36" w:rsidP="00C90F36">
      <w:pPr>
        <w:pStyle w:val="ListBullet01Second"/>
        <w:tabs>
          <w:tab w:val="clear" w:pos="1710"/>
          <w:tab w:val="num" w:pos="360"/>
        </w:tabs>
        <w:ind w:left="360"/>
      </w:pPr>
      <w:r>
        <w:t>OpenOffice Impress, CALC, WRITER  (version 3.3.0)</w:t>
      </w:r>
    </w:p>
    <w:p w:rsidR="00C90F36" w:rsidRDefault="00C90F36" w:rsidP="00C90F36">
      <w:pPr>
        <w:pStyle w:val="ListBullet01Second"/>
        <w:tabs>
          <w:tab w:val="clear" w:pos="1710"/>
          <w:tab w:val="num" w:pos="360"/>
        </w:tabs>
        <w:ind w:left="360"/>
      </w:pPr>
      <w:r>
        <w:t>Visa Resolve Online (advanced)</w:t>
      </w:r>
    </w:p>
    <w:p w:rsidR="00C90F36" w:rsidRDefault="00C90F36" w:rsidP="00C90F36">
      <w:pPr>
        <w:pStyle w:val="ListBullet01Second"/>
        <w:tabs>
          <w:tab w:val="clear" w:pos="1710"/>
          <w:tab w:val="num" w:pos="360"/>
        </w:tabs>
        <w:ind w:left="360"/>
      </w:pPr>
      <w:r>
        <w:t>Provide specialized training on VROL for</w:t>
      </w:r>
      <w:r w:rsidR="00841554">
        <w:t xml:space="preserve"> clients and</w:t>
      </w:r>
      <w:r>
        <w:t xml:space="preserve"> colleagues outside team    </w:t>
      </w:r>
    </w:p>
    <w:p w:rsidR="00BC03CD" w:rsidRPr="00BC03CD" w:rsidRDefault="00BC03CD" w:rsidP="00BC03CD">
      <w:pPr>
        <w:keepNext/>
        <w:keepLines/>
        <w:shd w:val="solid" w:color="auto" w:fill="auto"/>
        <w:spacing w:before="260" w:after="60"/>
        <w:jc w:val="center"/>
        <w:rPr>
          <w:rFonts w:ascii="Arial" w:hAnsi="Arial" w:cs="Arial"/>
          <w:b/>
          <w:color w:val="FFFFFF"/>
          <w:sz w:val="22"/>
        </w:rPr>
      </w:pPr>
      <w:r w:rsidRPr="00BC03CD">
        <w:rPr>
          <w:rFonts w:ascii="Arial" w:hAnsi="Arial" w:cs="Arial"/>
          <w:b/>
          <w:color w:val="FFFFFF"/>
          <w:sz w:val="22"/>
        </w:rPr>
        <w:lastRenderedPageBreak/>
        <w:t>External Personal Relevant Training Experience</w:t>
      </w:r>
    </w:p>
    <w:p w:rsidR="00BC03CD" w:rsidRPr="00BC03CD" w:rsidRDefault="00BC03CD" w:rsidP="00BC03CD">
      <w:pPr>
        <w:pStyle w:val="ListBullet01"/>
        <w:tabs>
          <w:tab w:val="clear" w:pos="1710"/>
          <w:tab w:val="num" w:pos="360"/>
        </w:tabs>
        <w:spacing w:before="0"/>
        <w:ind w:left="360"/>
      </w:pPr>
      <w:r w:rsidRPr="00BC03CD">
        <w:t>Demonstrated life-time learner. I study an extra 10 hours a week away from work reviewing industry newsletters published by Aite, Euromonitor, Javelin, First Annapolis, and American Banker</w:t>
      </w:r>
      <w:r w:rsidR="00BD6E7B">
        <w:t>.</w:t>
      </w:r>
    </w:p>
    <w:p w:rsidR="00BC03CD" w:rsidRPr="00BC03CD" w:rsidRDefault="00BC03CD" w:rsidP="00BC03CD">
      <w:pPr>
        <w:pStyle w:val="ListBullet01"/>
        <w:tabs>
          <w:tab w:val="clear" w:pos="1710"/>
          <w:tab w:val="num" w:pos="360"/>
        </w:tabs>
        <w:spacing w:before="0"/>
        <w:ind w:left="360"/>
      </w:pPr>
      <w:r w:rsidRPr="00BC03CD">
        <w:t>Read German fluently; read Danish and am working on increasing speech and communication competency. These languages p</w:t>
      </w:r>
      <w:r w:rsidR="003A193E">
        <w:t>rovide</w:t>
      </w:r>
      <w:r w:rsidRPr="00BC03CD">
        <w:t xml:space="preserve"> a different view on current events in the financial world</w:t>
      </w:r>
      <w:r w:rsidR="003A193E">
        <w:t>.</w:t>
      </w:r>
    </w:p>
    <w:p w:rsidR="00BC03CD" w:rsidRPr="00BC03CD" w:rsidRDefault="00BC03CD" w:rsidP="00BC03CD">
      <w:pPr>
        <w:keepNext/>
        <w:keepLines/>
        <w:shd w:val="solid" w:color="auto" w:fill="auto"/>
        <w:spacing w:before="260" w:after="60"/>
        <w:jc w:val="center"/>
        <w:rPr>
          <w:rFonts w:ascii="Arial" w:hAnsi="Arial" w:cs="Arial"/>
          <w:b/>
          <w:color w:val="FFFFFF"/>
          <w:sz w:val="22"/>
        </w:rPr>
      </w:pPr>
      <w:r w:rsidRPr="00BC03CD">
        <w:rPr>
          <w:rFonts w:ascii="Arial" w:hAnsi="Arial" w:cs="Arial"/>
          <w:b/>
          <w:color w:val="FFFFFF"/>
          <w:sz w:val="22"/>
        </w:rPr>
        <w:t>Applied Training Experience</w:t>
      </w:r>
    </w:p>
    <w:p w:rsidR="00BC03CD" w:rsidRPr="00BC03CD" w:rsidRDefault="00BC03CD" w:rsidP="00BC03CD">
      <w:pPr>
        <w:pStyle w:val="ListBullet01"/>
        <w:tabs>
          <w:tab w:val="clear" w:pos="1710"/>
          <w:tab w:val="num" w:pos="360"/>
        </w:tabs>
        <w:spacing w:before="0"/>
        <w:ind w:left="360"/>
      </w:pPr>
      <w:r w:rsidRPr="00BC03CD">
        <w:t xml:space="preserve">Provide mentor support for new colleagues </w:t>
      </w:r>
    </w:p>
    <w:p w:rsidR="00BC03CD" w:rsidRPr="00BC03CD" w:rsidRDefault="00BC03CD" w:rsidP="00BC03CD">
      <w:pPr>
        <w:pStyle w:val="ListBullet01"/>
        <w:tabs>
          <w:tab w:val="clear" w:pos="1710"/>
          <w:tab w:val="num" w:pos="360"/>
        </w:tabs>
        <w:spacing w:before="0"/>
        <w:ind w:left="360"/>
      </w:pPr>
      <w:r w:rsidRPr="00BC03CD">
        <w:t>Conduct on-site training for clients in Visa processes, procedures, and applications, particularly for dispute resolution business issues – U.S. Bank, Élan</w:t>
      </w:r>
      <w:r w:rsidR="00F403F0">
        <w:t xml:space="preserve"> </w:t>
      </w:r>
      <w:r w:rsidR="00F403F0" w:rsidRPr="00BC03CD">
        <w:t>Financial Services</w:t>
      </w:r>
      <w:r w:rsidRPr="00BC03CD">
        <w:t>, Genpass (one day seminars)</w:t>
      </w:r>
    </w:p>
    <w:p w:rsidR="00BC03CD" w:rsidRPr="00BC03CD" w:rsidRDefault="00BC03CD" w:rsidP="00BC03CD">
      <w:pPr>
        <w:pStyle w:val="ListBullet01"/>
        <w:tabs>
          <w:tab w:val="clear" w:pos="1710"/>
          <w:tab w:val="num" w:pos="360"/>
        </w:tabs>
        <w:spacing w:before="0"/>
        <w:ind w:left="360"/>
      </w:pPr>
      <w:r w:rsidRPr="00BC03CD">
        <w:t xml:space="preserve">Prepare PowerPoint presentations for client training for VROL use and transaction research  </w:t>
      </w:r>
    </w:p>
    <w:p w:rsidR="00BC03CD" w:rsidRPr="00BC03CD" w:rsidRDefault="00BC03CD" w:rsidP="00BC03CD">
      <w:pPr>
        <w:keepNext/>
        <w:keepLines/>
        <w:shd w:val="solid" w:color="auto" w:fill="auto"/>
        <w:spacing w:before="260" w:after="60"/>
        <w:jc w:val="center"/>
        <w:rPr>
          <w:rFonts w:ascii="Arial" w:hAnsi="Arial" w:cs="Arial"/>
          <w:b/>
          <w:color w:val="FFFFFF"/>
          <w:sz w:val="22"/>
        </w:rPr>
      </w:pPr>
      <w:r w:rsidRPr="00BC03CD">
        <w:rPr>
          <w:rFonts w:ascii="Arial" w:hAnsi="Arial" w:cs="Arial"/>
          <w:b/>
          <w:color w:val="FFFFFF"/>
          <w:sz w:val="22"/>
        </w:rPr>
        <w:t>Proven Platform/Project Experience</w:t>
      </w:r>
    </w:p>
    <w:p w:rsidR="00BC03CD" w:rsidRPr="00BC03CD" w:rsidRDefault="00BC03CD" w:rsidP="00BC03CD">
      <w:pPr>
        <w:pStyle w:val="ListBullet01"/>
        <w:tabs>
          <w:tab w:val="clear" w:pos="1710"/>
          <w:tab w:val="num" w:pos="360"/>
        </w:tabs>
        <w:spacing w:before="0"/>
        <w:ind w:left="360"/>
      </w:pPr>
      <w:r w:rsidRPr="00BC03CD">
        <w:t>Developed procedures for platform-to-platform migration Visa Exceptions to Visa Resolve Online  for more than 65 clients</w:t>
      </w:r>
    </w:p>
    <w:p w:rsidR="00BC03CD" w:rsidRPr="00BC03CD" w:rsidRDefault="00BC03CD" w:rsidP="00BC03CD">
      <w:pPr>
        <w:pStyle w:val="ListBullet01"/>
        <w:tabs>
          <w:tab w:val="clear" w:pos="1710"/>
          <w:tab w:val="num" w:pos="360"/>
        </w:tabs>
        <w:spacing w:before="0"/>
        <w:ind w:left="360"/>
      </w:pPr>
      <w:r w:rsidRPr="00BC03CD">
        <w:t xml:space="preserve">Currently support the sunset and migration from a transaction research platform VTRS Online to replacement platform Visa Resolve Online for 5 new clients and 45 existing clients </w:t>
      </w:r>
    </w:p>
    <w:p w:rsidR="00BC03CD" w:rsidRPr="00BC03CD" w:rsidRDefault="00BC03CD" w:rsidP="00BC03CD">
      <w:pPr>
        <w:pStyle w:val="ListBullet01"/>
        <w:tabs>
          <w:tab w:val="clear" w:pos="1710"/>
          <w:tab w:val="num" w:pos="360"/>
        </w:tabs>
        <w:spacing w:before="0"/>
        <w:ind w:left="360"/>
      </w:pPr>
      <w:r w:rsidRPr="00BC03CD">
        <w:t xml:space="preserve">Supported 500 non-US clients in Central Europe, the Middle East, and Africa  on Visa Resolve Online as primary team contact </w:t>
      </w:r>
    </w:p>
    <w:p w:rsidR="00BC03CD" w:rsidRPr="00BC03CD" w:rsidRDefault="00BC03CD" w:rsidP="00BC03CD">
      <w:pPr>
        <w:pStyle w:val="ListBullet01"/>
        <w:tabs>
          <w:tab w:val="clear" w:pos="1710"/>
          <w:tab w:val="num" w:pos="360"/>
        </w:tabs>
        <w:spacing w:before="0"/>
        <w:ind w:left="360"/>
      </w:pPr>
      <w:r w:rsidRPr="00BC03CD">
        <w:t>Support major debit card industry clients on Visa Resolve Online: Fiserv EFT, US BANK, Élan Financial Services, Citi</w:t>
      </w:r>
      <w:r w:rsidR="009F4570">
        <w:t>s</w:t>
      </w:r>
      <w:r w:rsidRPr="00BC03CD">
        <w:t>hare (CitiCorp’s ATM service)</w:t>
      </w:r>
    </w:p>
    <w:p w:rsidR="00BC03CD" w:rsidRPr="00BC03CD" w:rsidRDefault="00BC03CD" w:rsidP="00BC03CD">
      <w:pPr>
        <w:keepNext/>
        <w:keepLines/>
        <w:shd w:val="solid" w:color="auto" w:fill="auto"/>
        <w:spacing w:before="260" w:after="60"/>
        <w:jc w:val="center"/>
        <w:rPr>
          <w:rFonts w:ascii="Arial" w:hAnsi="Arial" w:cs="Arial"/>
          <w:b/>
          <w:color w:val="FFFFFF"/>
          <w:sz w:val="22"/>
        </w:rPr>
      </w:pPr>
      <w:r w:rsidRPr="00BC03CD">
        <w:rPr>
          <w:rFonts w:ascii="Arial" w:hAnsi="Arial" w:cs="Arial"/>
          <w:b/>
          <w:color w:val="FFFFFF"/>
          <w:sz w:val="22"/>
        </w:rPr>
        <w:t>Employment History</w:t>
      </w:r>
    </w:p>
    <w:p w:rsidR="00BC03CD" w:rsidRPr="00BC03CD" w:rsidRDefault="00BC03CD" w:rsidP="00BC03CD">
      <w:pPr>
        <w:keepNext/>
        <w:keepLines/>
        <w:pBdr>
          <w:top w:val="single" w:sz="8" w:space="1" w:color="auto"/>
        </w:pBdr>
        <w:tabs>
          <w:tab w:val="right" w:pos="9360"/>
        </w:tabs>
        <w:spacing w:before="280"/>
        <w:rPr>
          <w:rFonts w:ascii="Arial" w:hAnsi="Arial"/>
          <w:b/>
          <w:sz w:val="22"/>
        </w:rPr>
      </w:pPr>
      <w:r w:rsidRPr="00BC03CD">
        <w:rPr>
          <w:rFonts w:ascii="Arial" w:hAnsi="Arial"/>
          <w:b/>
          <w:sz w:val="22"/>
        </w:rPr>
        <w:t xml:space="preserve">Visa USA/Visa Inc.  </w:t>
      </w:r>
      <w:r w:rsidRPr="00BC03CD">
        <w:rPr>
          <w:rFonts w:ascii="Arial" w:hAnsi="Arial" w:cs="Arial"/>
          <w:b/>
          <w:sz w:val="22"/>
        </w:rPr>
        <w:t>▪  Ashburn, VA</w:t>
      </w:r>
      <w:r w:rsidRPr="00BC03CD">
        <w:rPr>
          <w:rFonts w:ascii="Arial" w:hAnsi="Arial" w:cs="Arial"/>
          <w:b/>
          <w:sz w:val="22"/>
        </w:rPr>
        <w:tab/>
      </w:r>
      <w:r w:rsidRPr="00BC03CD">
        <w:rPr>
          <w:rFonts w:ascii="Arial" w:hAnsi="Arial"/>
          <w:b/>
          <w:sz w:val="22"/>
        </w:rPr>
        <w:t xml:space="preserve">Technical Analyst  </w:t>
      </w:r>
      <w:r w:rsidRPr="00BC03CD">
        <w:rPr>
          <w:rFonts w:ascii="Arial" w:hAnsi="Arial" w:cs="Arial"/>
          <w:b/>
          <w:sz w:val="22"/>
        </w:rPr>
        <w:t xml:space="preserve">▪  </w:t>
      </w:r>
      <w:r w:rsidRPr="00BC03CD">
        <w:rPr>
          <w:rFonts w:ascii="Arial" w:hAnsi="Arial"/>
          <w:b/>
          <w:sz w:val="22"/>
        </w:rPr>
        <w:t xml:space="preserve">2003 – </w:t>
      </w:r>
      <w:r w:rsidR="00CE0AD5">
        <w:rPr>
          <w:rFonts w:ascii="Arial" w:hAnsi="Arial"/>
          <w:b/>
          <w:sz w:val="22"/>
        </w:rPr>
        <w:t>2012</w:t>
      </w:r>
      <w:bookmarkStart w:id="2" w:name="_GoBack"/>
      <w:bookmarkEnd w:id="2"/>
    </w:p>
    <w:p w:rsidR="00BC03CD" w:rsidRPr="00BC03CD" w:rsidRDefault="00BC03CD" w:rsidP="00BC03CD">
      <w:pPr>
        <w:rPr>
          <w:i/>
        </w:rPr>
      </w:pPr>
      <w:r w:rsidRPr="00BC03CD">
        <w:rPr>
          <w:i/>
        </w:rPr>
        <w:t>Visa Inc. is a global payments technology company that connects consumers, businesses, financial institutions, and government clients,</w:t>
      </w:r>
      <w:r w:rsidR="0025507B">
        <w:rPr>
          <w:i/>
        </w:rPr>
        <w:t xml:space="preserve"> </w:t>
      </w:r>
      <w:r w:rsidRPr="00BC03CD">
        <w:rPr>
          <w:i/>
        </w:rPr>
        <w:t>enabling them to use digital currency instead of cash and checks</w:t>
      </w:r>
    </w:p>
    <w:p w:rsidR="00BC03CD" w:rsidRPr="00BC03CD" w:rsidRDefault="00BC03CD" w:rsidP="00BC03CD">
      <w:pPr>
        <w:pStyle w:val="ListBullet01"/>
        <w:tabs>
          <w:tab w:val="clear" w:pos="1710"/>
          <w:tab w:val="num" w:pos="360"/>
        </w:tabs>
        <w:spacing w:before="0"/>
        <w:ind w:left="360"/>
      </w:pPr>
      <w:r w:rsidRPr="00BC03CD">
        <w:t xml:space="preserve">Use Visa Resolve Online (VROL) dispute resolution software to deliver second-level technical application support and operational service needs for clients. </w:t>
      </w:r>
    </w:p>
    <w:p w:rsidR="00BC03CD" w:rsidRPr="00BC03CD" w:rsidRDefault="00BC03CD" w:rsidP="00BC03CD">
      <w:pPr>
        <w:pStyle w:val="ListBullet01"/>
        <w:tabs>
          <w:tab w:val="clear" w:pos="1710"/>
          <w:tab w:val="num" w:pos="360"/>
        </w:tabs>
        <w:spacing w:before="0"/>
        <w:ind w:left="360"/>
      </w:pPr>
      <w:r w:rsidRPr="00BC03CD">
        <w:t xml:space="preserve">Using troubleshooting techniques, identified and resolved complex processing, application usage, or business issues. </w:t>
      </w:r>
    </w:p>
    <w:p w:rsidR="00BC03CD" w:rsidRPr="00BC03CD" w:rsidRDefault="00BC03CD" w:rsidP="00BC03CD">
      <w:pPr>
        <w:pStyle w:val="ListBullet01"/>
        <w:tabs>
          <w:tab w:val="clear" w:pos="1710"/>
          <w:tab w:val="num" w:pos="360"/>
        </w:tabs>
        <w:spacing w:before="0"/>
        <w:ind w:left="360"/>
      </w:pPr>
      <w:r w:rsidRPr="00BC03CD">
        <w:t>Reviewed and coordinated conversion and migration projects of client organizations from legacy dispute applications to current application (VROL)</w:t>
      </w:r>
    </w:p>
    <w:p w:rsidR="00BC03CD" w:rsidRPr="00BC03CD" w:rsidRDefault="00BC03CD" w:rsidP="00BC03CD">
      <w:pPr>
        <w:pStyle w:val="ListBullet01"/>
        <w:tabs>
          <w:tab w:val="clear" w:pos="1710"/>
          <w:tab w:val="num" w:pos="360"/>
        </w:tabs>
        <w:spacing w:before="0"/>
        <w:ind w:left="360"/>
      </w:pPr>
      <w:r w:rsidRPr="00BC03CD">
        <w:t xml:space="preserve">Acted as liaison for clients between other internal groups, including Product Offices, Development teams, and second-level technical application Back Office Support. </w:t>
      </w:r>
    </w:p>
    <w:p w:rsidR="00BC03CD" w:rsidRPr="00BC03CD" w:rsidRDefault="00BC03CD" w:rsidP="00BC03CD">
      <w:pPr>
        <w:pStyle w:val="ListBullet01"/>
        <w:tabs>
          <w:tab w:val="clear" w:pos="1710"/>
          <w:tab w:val="num" w:pos="360"/>
        </w:tabs>
        <w:spacing w:before="0"/>
        <w:ind w:left="360"/>
      </w:pPr>
      <w:r w:rsidRPr="00BC03CD">
        <w:t xml:space="preserve">Developed solutions and recommendations for client needs, business requirements, and priorities based on business needs. </w:t>
      </w:r>
    </w:p>
    <w:p w:rsidR="00BC03CD" w:rsidRPr="00BC03CD" w:rsidRDefault="00BC03CD" w:rsidP="00BC03CD">
      <w:pPr>
        <w:keepNext/>
        <w:keepLines/>
        <w:pBdr>
          <w:top w:val="single" w:sz="8" w:space="1" w:color="auto"/>
        </w:pBdr>
        <w:tabs>
          <w:tab w:val="right" w:pos="9360"/>
        </w:tabs>
        <w:spacing w:before="280"/>
        <w:rPr>
          <w:rFonts w:ascii="Arial" w:hAnsi="Arial"/>
          <w:b/>
          <w:sz w:val="22"/>
        </w:rPr>
      </w:pPr>
      <w:r w:rsidRPr="00BC03CD">
        <w:rPr>
          <w:rFonts w:ascii="Arial" w:hAnsi="Arial"/>
          <w:b/>
          <w:sz w:val="22"/>
        </w:rPr>
        <w:t xml:space="preserve">Visa USA  </w:t>
      </w:r>
      <w:r w:rsidRPr="00BC03CD">
        <w:rPr>
          <w:rFonts w:ascii="Arial" w:hAnsi="Arial" w:cs="Arial"/>
          <w:b/>
          <w:sz w:val="22"/>
        </w:rPr>
        <w:t>▪  McLean, VA</w:t>
      </w:r>
      <w:r w:rsidRPr="00BC03CD">
        <w:rPr>
          <w:rFonts w:ascii="Arial" w:hAnsi="Arial" w:cs="Arial"/>
          <w:b/>
          <w:sz w:val="22"/>
        </w:rPr>
        <w:tab/>
      </w:r>
      <w:r w:rsidRPr="00BC03CD">
        <w:rPr>
          <w:rFonts w:ascii="Arial" w:hAnsi="Arial"/>
          <w:b/>
          <w:sz w:val="22"/>
        </w:rPr>
        <w:t xml:space="preserve">Assistant Account Manager  </w:t>
      </w:r>
      <w:r w:rsidRPr="00BC03CD">
        <w:rPr>
          <w:rFonts w:ascii="Arial" w:hAnsi="Arial" w:cs="Arial"/>
          <w:b/>
          <w:sz w:val="22"/>
        </w:rPr>
        <w:t xml:space="preserve">▪  </w:t>
      </w:r>
      <w:r w:rsidRPr="00BC03CD">
        <w:rPr>
          <w:rFonts w:ascii="Arial" w:hAnsi="Arial"/>
          <w:b/>
          <w:sz w:val="22"/>
        </w:rPr>
        <w:t>1999 – 2003</w:t>
      </w:r>
    </w:p>
    <w:p w:rsidR="00BC03CD" w:rsidRPr="00BC03CD" w:rsidRDefault="00BC03CD" w:rsidP="00BC03CD">
      <w:pPr>
        <w:spacing w:before="80"/>
        <w:rPr>
          <w:rFonts w:ascii="Arial" w:hAnsi="Arial"/>
          <w:sz w:val="20"/>
        </w:rPr>
      </w:pPr>
      <w:r w:rsidRPr="00BC03CD">
        <w:rPr>
          <w:rFonts w:ascii="Arial" w:hAnsi="Arial"/>
          <w:i/>
          <w:sz w:val="20"/>
        </w:rPr>
        <w:t>The global client support group works with locally deployed client service experts to develop and deliver the support model for Visa Inc. issuers, acquirers, processors, and merchants worldwide</w:t>
      </w:r>
      <w:r w:rsidRPr="00BC03CD">
        <w:rPr>
          <w:rFonts w:ascii="Arial" w:hAnsi="Arial"/>
          <w:sz w:val="20"/>
        </w:rPr>
        <w:t xml:space="preserve">. </w:t>
      </w:r>
    </w:p>
    <w:p w:rsidR="00BC03CD" w:rsidRPr="00BC03CD" w:rsidRDefault="00BC03CD" w:rsidP="00BC03CD">
      <w:pPr>
        <w:tabs>
          <w:tab w:val="num" w:pos="360"/>
        </w:tabs>
        <w:spacing w:before="80"/>
        <w:ind w:left="360" w:hanging="360"/>
        <w:rPr>
          <w:rFonts w:ascii="Arial" w:hAnsi="Arial"/>
          <w:sz w:val="20"/>
        </w:rPr>
      </w:pPr>
      <w:r w:rsidRPr="00BC03CD">
        <w:rPr>
          <w:rFonts w:ascii="Arial" w:hAnsi="Arial"/>
          <w:sz w:val="20"/>
        </w:rPr>
        <w:t xml:space="preserve">Identified and resolved issues of moderate complexity, requiring strong execution and analytical abilities. </w:t>
      </w:r>
    </w:p>
    <w:p w:rsidR="00BC03CD" w:rsidRPr="00BC03CD" w:rsidRDefault="00BC03CD" w:rsidP="00BC03CD">
      <w:pPr>
        <w:pStyle w:val="ListBullet01"/>
        <w:tabs>
          <w:tab w:val="clear" w:pos="1710"/>
          <w:tab w:val="num" w:pos="360"/>
        </w:tabs>
        <w:spacing w:before="0"/>
        <w:ind w:left="360"/>
      </w:pPr>
      <w:r w:rsidRPr="00BC03CD">
        <w:t xml:space="preserve">Provided specialized operations support to general operations (e.g. VisaNet Account Managers). </w:t>
      </w:r>
    </w:p>
    <w:p w:rsidR="00BC03CD" w:rsidRPr="00BC03CD" w:rsidRDefault="00BC03CD" w:rsidP="00BC03CD">
      <w:pPr>
        <w:pStyle w:val="ListBullet01"/>
        <w:tabs>
          <w:tab w:val="clear" w:pos="1710"/>
          <w:tab w:val="num" w:pos="360"/>
        </w:tabs>
        <w:spacing w:before="0"/>
        <w:ind w:left="360"/>
      </w:pPr>
      <w:r w:rsidRPr="00BC03CD">
        <w:t xml:space="preserve">Managed the day-to-day operational support and fulfilled service support needs of moderate complexity for assigned Visa client institutions. </w:t>
      </w:r>
    </w:p>
    <w:p w:rsidR="00BC03CD" w:rsidRPr="00BC03CD" w:rsidRDefault="00BC03CD" w:rsidP="00BC03CD">
      <w:pPr>
        <w:pStyle w:val="ListBullet01"/>
        <w:tabs>
          <w:tab w:val="clear" w:pos="1710"/>
          <w:tab w:val="num" w:pos="360"/>
        </w:tabs>
        <w:spacing w:before="0"/>
        <w:ind w:left="360"/>
      </w:pPr>
      <w:r w:rsidRPr="00BC03CD">
        <w:t xml:space="preserve">Acted as liaison for the client; provided problem management, proactively identified processing efficiencies, provided service change support, and provided system enhancement support. </w:t>
      </w:r>
    </w:p>
    <w:p w:rsidR="00BC03CD" w:rsidRPr="00BC03CD" w:rsidRDefault="00BC03CD" w:rsidP="00BC03CD">
      <w:pPr>
        <w:pStyle w:val="ListBullet01"/>
        <w:tabs>
          <w:tab w:val="clear" w:pos="1710"/>
          <w:tab w:val="num" w:pos="360"/>
        </w:tabs>
        <w:spacing w:before="0"/>
        <w:ind w:left="360"/>
      </w:pPr>
      <w:r w:rsidRPr="00BC03CD">
        <w:t>Ensured processing system performance standards were met and that the client perspective was represented within the organization.</w:t>
      </w:r>
    </w:p>
    <w:p w:rsidR="00BC03CD" w:rsidRPr="00BC03CD" w:rsidRDefault="00BC03CD" w:rsidP="00BC03CD">
      <w:pPr>
        <w:pStyle w:val="ListBullet01"/>
        <w:tabs>
          <w:tab w:val="clear" w:pos="1710"/>
          <w:tab w:val="num" w:pos="360"/>
        </w:tabs>
        <w:spacing w:before="0"/>
        <w:ind w:left="360"/>
      </w:pPr>
      <w:r w:rsidRPr="00BC03CD">
        <w:t xml:space="preserve">Stayed current with industry and client trends and maintained a working knowledge of Visa products and VisaNet services. </w:t>
      </w:r>
    </w:p>
    <w:p w:rsidR="00BC03CD" w:rsidRPr="00BC03CD" w:rsidRDefault="00BC03CD" w:rsidP="00BC03CD">
      <w:pPr>
        <w:pStyle w:val="ListBullet01"/>
        <w:tabs>
          <w:tab w:val="clear" w:pos="1710"/>
          <w:tab w:val="num" w:pos="360"/>
        </w:tabs>
        <w:spacing w:before="0"/>
        <w:ind w:left="360"/>
      </w:pPr>
      <w:r w:rsidRPr="00BC03CD">
        <w:t xml:space="preserve">Played a critical role in proactively working with the client to identify operational cost efficiencies through review of their Visa billing invoice, </w:t>
      </w:r>
    </w:p>
    <w:p w:rsidR="00BC03CD" w:rsidRPr="00BC03CD" w:rsidRDefault="00BC03CD" w:rsidP="00BC03CD">
      <w:pPr>
        <w:pStyle w:val="ListBullet01"/>
        <w:tabs>
          <w:tab w:val="clear" w:pos="1710"/>
          <w:tab w:val="num" w:pos="360"/>
        </w:tabs>
        <w:spacing w:before="0"/>
        <w:ind w:left="360"/>
      </w:pPr>
      <w:r w:rsidRPr="00BC03CD">
        <w:t xml:space="preserve">Managed moderately complex assignments that were diverse in scope, and to search out appropriate courses of action. </w:t>
      </w:r>
    </w:p>
    <w:p w:rsidR="00BC03CD" w:rsidRPr="00BC03CD" w:rsidRDefault="00BC03CD" w:rsidP="00BC03CD">
      <w:pPr>
        <w:keepNext/>
        <w:keepLines/>
        <w:pBdr>
          <w:top w:val="single" w:sz="8" w:space="1" w:color="auto"/>
        </w:pBdr>
        <w:tabs>
          <w:tab w:val="right" w:pos="9360"/>
        </w:tabs>
        <w:spacing w:before="280"/>
        <w:rPr>
          <w:rFonts w:ascii="Arial" w:hAnsi="Arial"/>
          <w:b/>
          <w:sz w:val="22"/>
        </w:rPr>
      </w:pPr>
      <w:r w:rsidRPr="00BC03CD">
        <w:rPr>
          <w:rFonts w:ascii="Arial" w:hAnsi="Arial"/>
          <w:b/>
          <w:sz w:val="22"/>
        </w:rPr>
        <w:lastRenderedPageBreak/>
        <w:t xml:space="preserve">Rescon Inc. later  Parexel (S&amp;FA)  </w:t>
      </w:r>
      <w:r w:rsidRPr="00BC03CD">
        <w:rPr>
          <w:rFonts w:ascii="Arial" w:hAnsi="Arial" w:cs="Arial"/>
          <w:b/>
          <w:sz w:val="22"/>
        </w:rPr>
        <w:t>▪  Alexandria, VA</w:t>
      </w:r>
      <w:r w:rsidRPr="00BC03CD">
        <w:rPr>
          <w:rFonts w:ascii="Arial" w:hAnsi="Arial" w:cs="Arial"/>
          <w:b/>
          <w:sz w:val="22"/>
        </w:rPr>
        <w:tab/>
        <w:t xml:space="preserve">Research </w:t>
      </w:r>
      <w:r w:rsidRPr="00BC03CD">
        <w:rPr>
          <w:rFonts w:ascii="Arial" w:hAnsi="Arial"/>
          <w:b/>
          <w:sz w:val="22"/>
        </w:rPr>
        <w:t xml:space="preserve">Analyst  </w:t>
      </w:r>
      <w:r w:rsidRPr="00BC03CD">
        <w:rPr>
          <w:rFonts w:ascii="Arial" w:hAnsi="Arial" w:cs="Arial"/>
          <w:b/>
          <w:sz w:val="22"/>
        </w:rPr>
        <w:t xml:space="preserve">▪  </w:t>
      </w:r>
      <w:r w:rsidRPr="00BC03CD">
        <w:rPr>
          <w:rFonts w:ascii="Arial" w:hAnsi="Arial"/>
          <w:b/>
          <w:sz w:val="22"/>
        </w:rPr>
        <w:t>1996 – 1999</w:t>
      </w:r>
    </w:p>
    <w:p w:rsidR="00286DA5" w:rsidRDefault="00BC03CD" w:rsidP="00BC03CD">
      <w:pPr>
        <w:rPr>
          <w:rFonts w:cs="Arial"/>
          <w:color w:val="000000"/>
          <w:sz w:val="18"/>
          <w:szCs w:val="18"/>
        </w:rPr>
      </w:pPr>
      <w:r w:rsidRPr="00BC03CD">
        <w:t xml:space="preserve">Parexel is a </w:t>
      </w:r>
      <w:r w:rsidRPr="00BC03CD">
        <w:rPr>
          <w:rFonts w:cs="Arial"/>
          <w:color w:val="333333"/>
          <w:sz w:val="18"/>
          <w:szCs w:val="18"/>
        </w:rPr>
        <w:t xml:space="preserve">leading global bio/pharmaceutical services organization that helps clients expedite time-to-market through its development and launch services. These include a broad range of clinical development capabilities, integrated advanced technologies, regulatory affairs consulting, and commercialization services. </w:t>
      </w:r>
      <w:r w:rsidRPr="00BC03CD">
        <w:rPr>
          <w:rFonts w:cs="Arial"/>
          <w:color w:val="000000"/>
          <w:sz w:val="18"/>
          <w:szCs w:val="18"/>
        </w:rPr>
        <w:t xml:space="preserve">PAREXEL International is a global Clinical Research Organization (CRO) that has helped bring to market 49 of the top 50 selling pharmaceuticals. </w:t>
      </w:r>
    </w:p>
    <w:p w:rsidR="00286DA5" w:rsidRDefault="00286DA5" w:rsidP="00BC03CD">
      <w:pPr>
        <w:rPr>
          <w:rFonts w:cs="Arial"/>
          <w:color w:val="000000"/>
          <w:sz w:val="18"/>
          <w:szCs w:val="18"/>
        </w:rPr>
      </w:pPr>
    </w:p>
    <w:p w:rsidR="00286DA5" w:rsidRPr="00286DA5" w:rsidRDefault="00286DA5" w:rsidP="00286DA5">
      <w:pPr>
        <w:pStyle w:val="ListBullet01"/>
        <w:numPr>
          <w:ilvl w:val="0"/>
          <w:numId w:val="0"/>
        </w:numPr>
        <w:spacing w:before="0"/>
      </w:pPr>
      <w:r w:rsidRPr="00286DA5">
        <w:t>As a Research Analyst, contacted hospitals and HMOs to conduct survey research on pharmaceutical formulary coverage to support the launch of various pharmaceutical products.</w:t>
      </w:r>
    </w:p>
    <w:p w:rsidR="00BC03CD" w:rsidRPr="00286DA5" w:rsidRDefault="00BC03CD" w:rsidP="00286DA5">
      <w:pPr>
        <w:pStyle w:val="ListBullet01"/>
        <w:numPr>
          <w:ilvl w:val="0"/>
          <w:numId w:val="0"/>
        </w:numPr>
        <w:spacing w:before="0"/>
      </w:pPr>
      <w:r w:rsidRPr="00286DA5">
        <w:t>Contacted hospitals and HMOs to conduct survey research on pharmaceutical formulary coverage to support the launch of various pharmaceutical products</w:t>
      </w:r>
    </w:p>
    <w:p w:rsidR="00BC03CD" w:rsidRPr="00BC03CD" w:rsidRDefault="00BC03CD" w:rsidP="00BC03CD">
      <w:pPr>
        <w:keepNext/>
        <w:keepLines/>
        <w:pBdr>
          <w:top w:val="single" w:sz="8" w:space="1" w:color="auto"/>
        </w:pBdr>
        <w:tabs>
          <w:tab w:val="right" w:pos="9360"/>
        </w:tabs>
        <w:spacing w:before="280"/>
        <w:jc w:val="right"/>
        <w:rPr>
          <w:rFonts w:ascii="Arial" w:hAnsi="Arial" w:cs="Arial"/>
          <w:b/>
          <w:sz w:val="22"/>
        </w:rPr>
      </w:pPr>
      <w:r w:rsidRPr="00BC03CD">
        <w:rPr>
          <w:rFonts w:ascii="Arial" w:hAnsi="Arial" w:cs="Arial"/>
          <w:b/>
          <w:sz w:val="22"/>
        </w:rPr>
        <w:t>Client Service Representative ▪ 1994 – 1996</w:t>
      </w:r>
    </w:p>
    <w:p w:rsidR="00BC03CD" w:rsidRPr="00BC03CD" w:rsidRDefault="00BC03CD" w:rsidP="00BC03CD">
      <w:pPr>
        <w:rPr>
          <w:rFonts w:cs="Arial"/>
          <w:color w:val="000000"/>
          <w:sz w:val="18"/>
          <w:szCs w:val="18"/>
        </w:rPr>
      </w:pPr>
      <w:r w:rsidRPr="00BC03CD">
        <w:t xml:space="preserve">Rescon was a </w:t>
      </w:r>
      <w:r w:rsidRPr="00BC03CD">
        <w:rPr>
          <w:rFonts w:cs="Arial"/>
          <w:color w:val="333333"/>
          <w:sz w:val="18"/>
          <w:szCs w:val="18"/>
        </w:rPr>
        <w:t xml:space="preserve">leading national pharmaceutical research organization that helped clients expedite time-to-market through its development and launch services. These included a broad range of clinical development capabilities, integrated advanced technologies, regulatory affairs consulting, and commercialization services. </w:t>
      </w:r>
    </w:p>
    <w:p w:rsidR="00BC03CD" w:rsidRPr="00BC03CD" w:rsidRDefault="00BC03CD" w:rsidP="00BC03CD">
      <w:pPr>
        <w:rPr>
          <w:rFonts w:ascii="Arial" w:hAnsi="Arial" w:cs="Arial"/>
          <w:sz w:val="20"/>
          <w:szCs w:val="20"/>
        </w:rPr>
      </w:pPr>
      <w:r w:rsidRPr="00BC03CD">
        <w:rPr>
          <w:rFonts w:ascii="Arial" w:hAnsi="Arial" w:cs="Arial"/>
          <w:sz w:val="20"/>
          <w:szCs w:val="20"/>
        </w:rPr>
        <w:t>As a Client Service Representative, provided a link between clients and the company. Responded to client inquiries and ensured that any problems they experienced were resolved. Interacted with clients to provide information in response to inquiries about products and services. Handled and resolved client's complaints.</w:t>
      </w:r>
    </w:p>
    <w:p w:rsidR="00BC03CD" w:rsidRPr="00BC03CD" w:rsidRDefault="00BC03CD" w:rsidP="00BC03CD">
      <w:pPr>
        <w:pStyle w:val="ListBullet01"/>
        <w:tabs>
          <w:tab w:val="clear" w:pos="1710"/>
          <w:tab w:val="num" w:pos="360"/>
        </w:tabs>
        <w:spacing w:before="0"/>
        <w:ind w:left="360"/>
      </w:pPr>
      <w:r w:rsidRPr="00BC03CD">
        <w:t>Focused on client needs, meeting or exceeding expectations</w:t>
      </w:r>
    </w:p>
    <w:p w:rsidR="00BC03CD" w:rsidRPr="00BC03CD" w:rsidRDefault="00BC03CD" w:rsidP="00BC03CD">
      <w:pPr>
        <w:pStyle w:val="ListBullet01"/>
        <w:tabs>
          <w:tab w:val="clear" w:pos="1710"/>
          <w:tab w:val="num" w:pos="360"/>
        </w:tabs>
        <w:spacing w:before="0"/>
        <w:ind w:left="360"/>
      </w:pPr>
      <w:r w:rsidRPr="00BC03CD">
        <w:t>Demonstrated intimate knowledge of and empathy for the client</w:t>
      </w:r>
      <w:r>
        <w:t>’</w:t>
      </w:r>
      <w:r w:rsidRPr="00BC03CD">
        <w:t>s needs</w:t>
      </w:r>
    </w:p>
    <w:p w:rsidR="00BC03CD" w:rsidRPr="00BC03CD" w:rsidRDefault="00BC03CD" w:rsidP="00BC03CD">
      <w:pPr>
        <w:pStyle w:val="ListBullet01"/>
        <w:tabs>
          <w:tab w:val="clear" w:pos="1710"/>
          <w:tab w:val="num" w:pos="360"/>
        </w:tabs>
        <w:spacing w:before="0"/>
        <w:ind w:left="360"/>
      </w:pPr>
      <w:r w:rsidRPr="00BC03CD">
        <w:t>Communicated clearly, both written and oral, in a way the client could understand</w:t>
      </w:r>
    </w:p>
    <w:p w:rsidR="00BC03CD" w:rsidRPr="00BC03CD" w:rsidRDefault="00BC03CD" w:rsidP="00BC03CD">
      <w:pPr>
        <w:pStyle w:val="ListBullet01"/>
        <w:tabs>
          <w:tab w:val="clear" w:pos="1710"/>
          <w:tab w:val="num" w:pos="360"/>
        </w:tabs>
        <w:spacing w:before="0"/>
        <w:ind w:left="360"/>
      </w:pPr>
      <w:r w:rsidRPr="00BC03CD">
        <w:t>Worked accurately and with an eye for detail</w:t>
      </w:r>
    </w:p>
    <w:p w:rsidR="00BC03CD" w:rsidRPr="00BC03CD" w:rsidRDefault="00BC03CD" w:rsidP="00BC03CD">
      <w:pPr>
        <w:pStyle w:val="ListBullet01"/>
        <w:tabs>
          <w:tab w:val="clear" w:pos="1710"/>
          <w:tab w:val="num" w:pos="360"/>
        </w:tabs>
        <w:spacing w:before="0"/>
        <w:ind w:left="360"/>
      </w:pPr>
      <w:r w:rsidRPr="00BC03CD">
        <w:t>Worked for the best interest of both client and company</w:t>
      </w:r>
    </w:p>
    <w:p w:rsidR="00BC03CD" w:rsidRPr="00BC03CD" w:rsidRDefault="00BC03CD" w:rsidP="00BC03CD">
      <w:pPr>
        <w:pStyle w:val="ListBullet01"/>
        <w:tabs>
          <w:tab w:val="clear" w:pos="1710"/>
          <w:tab w:val="num" w:pos="360"/>
        </w:tabs>
        <w:spacing w:before="0"/>
        <w:ind w:left="360"/>
      </w:pPr>
      <w:r w:rsidRPr="00BC03CD">
        <w:t>Used automated information systems to analyze the clients’ situation</w:t>
      </w:r>
    </w:p>
    <w:p w:rsidR="00BC03CD" w:rsidRPr="00BC03CD" w:rsidRDefault="00BC03CD" w:rsidP="00BC03CD">
      <w:pPr>
        <w:pStyle w:val="ListBullet01"/>
        <w:tabs>
          <w:tab w:val="clear" w:pos="1710"/>
          <w:tab w:val="num" w:pos="360"/>
        </w:tabs>
        <w:spacing w:before="0"/>
        <w:ind w:left="360"/>
      </w:pPr>
      <w:r w:rsidRPr="00BC03CD">
        <w:t>Built long-term relationship with client</w:t>
      </w:r>
    </w:p>
    <w:p w:rsidR="00BC03CD" w:rsidRPr="00BC03CD" w:rsidRDefault="00BC03CD" w:rsidP="00BC03CD">
      <w:pPr>
        <w:keepNext/>
        <w:keepLines/>
        <w:shd w:val="solid" w:color="auto" w:fill="auto"/>
        <w:spacing w:before="260" w:after="60"/>
        <w:jc w:val="center"/>
        <w:rPr>
          <w:rFonts w:ascii="Arial" w:hAnsi="Arial" w:cs="Arial"/>
          <w:b/>
          <w:color w:val="FFFFFF"/>
          <w:sz w:val="22"/>
        </w:rPr>
      </w:pPr>
      <w:r w:rsidRPr="00BC03CD">
        <w:rPr>
          <w:rFonts w:ascii="Arial" w:hAnsi="Arial" w:cs="Arial"/>
          <w:b/>
          <w:color w:val="FFFFFF"/>
          <w:sz w:val="22"/>
        </w:rPr>
        <w:t>Education</w:t>
      </w:r>
    </w:p>
    <w:p w:rsidR="00BC03CD" w:rsidRDefault="00BC03CD" w:rsidP="00BC03CD">
      <w:pPr>
        <w:pStyle w:val="ListBullet01"/>
        <w:tabs>
          <w:tab w:val="clear" w:pos="1710"/>
          <w:tab w:val="num" w:pos="360"/>
        </w:tabs>
        <w:spacing w:before="0"/>
        <w:ind w:left="360"/>
      </w:pPr>
      <w:r w:rsidRPr="00BC03CD">
        <w:t>M.A., Modern European History, Brigham Young University, Provo, Utah, 1994</w:t>
      </w:r>
    </w:p>
    <w:p w:rsidR="00BC03CD" w:rsidRDefault="00BC03CD" w:rsidP="00BC03CD">
      <w:pPr>
        <w:pStyle w:val="ListBullet01"/>
        <w:tabs>
          <w:tab w:val="clear" w:pos="1710"/>
          <w:tab w:val="num" w:pos="360"/>
        </w:tabs>
        <w:spacing w:before="0"/>
        <w:ind w:left="360"/>
      </w:pPr>
      <w:r w:rsidRPr="00BC03CD">
        <w:t xml:space="preserve">B.A., History, Brigham Young University, Provo, Utah, 1988 </w:t>
      </w:r>
    </w:p>
    <w:p w:rsidR="00BC03CD" w:rsidRPr="00BC03CD" w:rsidRDefault="00BC03CD" w:rsidP="00BC03CD">
      <w:pPr>
        <w:pStyle w:val="ListBullet01"/>
        <w:tabs>
          <w:tab w:val="clear" w:pos="1710"/>
          <w:tab w:val="num" w:pos="360"/>
        </w:tabs>
        <w:spacing w:before="0"/>
        <w:ind w:left="360"/>
      </w:pPr>
      <w:r w:rsidRPr="00BC03CD">
        <w:t>A.A., Liberal Arts, San Jose City College, San Jose, California, 1983</w:t>
      </w:r>
    </w:p>
    <w:p w:rsidR="00BC03CD" w:rsidRPr="00BC03CD" w:rsidRDefault="00BC03CD" w:rsidP="00BC03CD">
      <w:pPr>
        <w:keepNext/>
        <w:keepLines/>
        <w:shd w:val="solid" w:color="auto" w:fill="auto"/>
        <w:spacing w:before="260" w:after="60"/>
        <w:jc w:val="center"/>
        <w:rPr>
          <w:rFonts w:ascii="Arial" w:hAnsi="Arial" w:cs="Arial"/>
          <w:b/>
          <w:color w:val="FFFFFF"/>
          <w:sz w:val="22"/>
        </w:rPr>
      </w:pPr>
      <w:r w:rsidRPr="00BC03CD">
        <w:rPr>
          <w:rFonts w:ascii="Arial" w:hAnsi="Arial" w:cs="Arial"/>
          <w:b/>
          <w:color w:val="FFFFFF"/>
          <w:sz w:val="22"/>
        </w:rPr>
        <w:t>Teaching Experience</w:t>
      </w:r>
    </w:p>
    <w:p w:rsidR="00BC03CD" w:rsidRPr="00BC03CD" w:rsidRDefault="00BC03CD" w:rsidP="00BC03CD">
      <w:pPr>
        <w:tabs>
          <w:tab w:val="left" w:pos="720"/>
        </w:tabs>
        <w:spacing w:before="80"/>
        <w:ind w:left="360"/>
        <w:rPr>
          <w:rFonts w:ascii="Arial" w:hAnsi="Arial"/>
          <w:sz w:val="20"/>
        </w:rPr>
      </w:pPr>
      <w:r w:rsidRPr="00BC03CD">
        <w:rPr>
          <w:rFonts w:ascii="Arial" w:hAnsi="Arial"/>
          <w:sz w:val="20"/>
        </w:rPr>
        <w:t>Brigham Young University</w:t>
      </w:r>
    </w:p>
    <w:p w:rsidR="00BC03CD" w:rsidRPr="00BC03CD" w:rsidRDefault="00BC03CD" w:rsidP="00BC03CD">
      <w:pPr>
        <w:pStyle w:val="ListBullet01"/>
        <w:tabs>
          <w:tab w:val="clear" w:pos="1710"/>
          <w:tab w:val="num" w:pos="360"/>
        </w:tabs>
        <w:spacing w:before="0"/>
        <w:ind w:left="360"/>
      </w:pPr>
      <w:r w:rsidRPr="00BC03CD">
        <w:t>Teaching Assistant, World Civilization Survey I and II,– 3 years (400+ students)</w:t>
      </w:r>
    </w:p>
    <w:p w:rsidR="00BC03CD" w:rsidRPr="00BC03CD" w:rsidRDefault="00BC03CD" w:rsidP="00BC03CD">
      <w:pPr>
        <w:pStyle w:val="ListBullet01"/>
        <w:tabs>
          <w:tab w:val="clear" w:pos="1710"/>
          <w:tab w:val="num" w:pos="360"/>
        </w:tabs>
        <w:spacing w:before="0"/>
        <w:ind w:left="360"/>
      </w:pPr>
      <w:r w:rsidRPr="00BC03CD">
        <w:t>Course Instructor, Independent Study,– 2 years (30+ students in distance learning)</w:t>
      </w:r>
    </w:p>
    <w:p w:rsidR="00BC03CD" w:rsidRPr="00BC03CD" w:rsidRDefault="00BC03CD" w:rsidP="00BC03CD">
      <w:pPr>
        <w:pStyle w:val="ListBullet01"/>
        <w:tabs>
          <w:tab w:val="clear" w:pos="1710"/>
          <w:tab w:val="num" w:pos="360"/>
        </w:tabs>
        <w:spacing w:before="0"/>
        <w:ind w:left="360"/>
      </w:pPr>
      <w:r w:rsidRPr="00BC03CD">
        <w:t>Teaching Assistant, English History – 1 year (60+ students)</w:t>
      </w:r>
    </w:p>
    <w:p w:rsidR="00A64473" w:rsidRDefault="00A64473"/>
    <w:sectPr w:rsidR="00A64473" w:rsidSect="00EE17A8">
      <w:footerReference w:type="default" r:id="rId8"/>
      <w:pgSz w:w="12240" w:h="15840" w:code="1"/>
      <w:pgMar w:top="720" w:right="1440" w:bottom="720" w:left="1440" w:header="504" w:footer="5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5DF0" w:rsidRDefault="007E5DF0">
      <w:r>
        <w:separator/>
      </w:r>
    </w:p>
  </w:endnote>
  <w:endnote w:type="continuationSeparator" w:id="0">
    <w:p w:rsidR="007E5DF0" w:rsidRDefault="007E5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BDE" w:rsidRDefault="007E5DF0" w:rsidP="00755373">
    <w:pPr>
      <w:pStyle w:val="Footer"/>
    </w:pPr>
  </w:p>
  <w:p w:rsidR="00982BDE" w:rsidRDefault="00EE3E94" w:rsidP="00755373">
    <w:pPr>
      <w:pStyle w:val="Footer"/>
      <w:pBdr>
        <w:top w:val="single" w:sz="8" w:space="1" w:color="auto"/>
      </w:pBdr>
    </w:pPr>
    <w:r>
      <w:t xml:space="preserve">Michael E. Mitchell </w:t>
    </w:r>
    <w:r>
      <w:rPr>
        <w:rFonts w:cs="Arial"/>
      </w:rPr>
      <w:t>▪</w:t>
    </w:r>
    <w:r>
      <w:t xml:space="preserve"> Resume</w:t>
    </w: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CE0AD5">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CE0AD5">
      <w:rPr>
        <w:rStyle w:val="PageNumber"/>
        <w:noProof/>
      </w:rPr>
      <w:t>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5DF0" w:rsidRDefault="007E5DF0">
      <w:r>
        <w:separator/>
      </w:r>
    </w:p>
  </w:footnote>
  <w:footnote w:type="continuationSeparator" w:id="0">
    <w:p w:rsidR="007E5DF0" w:rsidRDefault="007E5D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7019EE"/>
    <w:multiLevelType w:val="hybridMultilevel"/>
    <w:tmpl w:val="6C5A44D6"/>
    <w:lvl w:ilvl="0" w:tplc="6B809FAE">
      <w:start w:val="1"/>
      <w:numFmt w:val="bullet"/>
      <w:pStyle w:val="ListBullet01"/>
      <w:lvlText w:val=""/>
      <w:lvlJc w:val="left"/>
      <w:pPr>
        <w:tabs>
          <w:tab w:val="num" w:pos="1710"/>
        </w:tabs>
        <w:ind w:left="171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3CD"/>
    <w:rsid w:val="00147D9E"/>
    <w:rsid w:val="0025507B"/>
    <w:rsid w:val="002861C5"/>
    <w:rsid w:val="00286DA5"/>
    <w:rsid w:val="003A193E"/>
    <w:rsid w:val="003C507F"/>
    <w:rsid w:val="007E5DF0"/>
    <w:rsid w:val="00841554"/>
    <w:rsid w:val="008A3A9A"/>
    <w:rsid w:val="008A4585"/>
    <w:rsid w:val="009E0861"/>
    <w:rsid w:val="009F4570"/>
    <w:rsid w:val="00A64473"/>
    <w:rsid w:val="00B76831"/>
    <w:rsid w:val="00BC03CD"/>
    <w:rsid w:val="00BD6E7B"/>
    <w:rsid w:val="00C553E3"/>
    <w:rsid w:val="00C70A89"/>
    <w:rsid w:val="00C90F36"/>
    <w:rsid w:val="00CE0AD5"/>
    <w:rsid w:val="00EE3E94"/>
    <w:rsid w:val="00F40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C03CD"/>
    <w:pPr>
      <w:tabs>
        <w:tab w:val="center" w:pos="4680"/>
        <w:tab w:val="right" w:pos="9360"/>
      </w:tabs>
    </w:pPr>
  </w:style>
  <w:style w:type="character" w:customStyle="1" w:styleId="HeaderChar">
    <w:name w:val="Header Char"/>
    <w:basedOn w:val="DefaultParagraphFont"/>
    <w:link w:val="Header"/>
    <w:rsid w:val="00BC03CD"/>
    <w:rPr>
      <w:sz w:val="24"/>
      <w:szCs w:val="24"/>
    </w:rPr>
  </w:style>
  <w:style w:type="paragraph" w:styleId="Footer">
    <w:name w:val="footer"/>
    <w:basedOn w:val="Normal"/>
    <w:link w:val="FooterChar"/>
    <w:rsid w:val="00BC03CD"/>
    <w:pPr>
      <w:tabs>
        <w:tab w:val="center" w:pos="4680"/>
        <w:tab w:val="right" w:pos="9360"/>
      </w:tabs>
    </w:pPr>
  </w:style>
  <w:style w:type="character" w:customStyle="1" w:styleId="FooterChar">
    <w:name w:val="Footer Char"/>
    <w:basedOn w:val="DefaultParagraphFont"/>
    <w:link w:val="Footer"/>
    <w:rsid w:val="00BC03CD"/>
    <w:rPr>
      <w:sz w:val="24"/>
      <w:szCs w:val="24"/>
    </w:rPr>
  </w:style>
  <w:style w:type="character" w:styleId="PageNumber">
    <w:name w:val="page number"/>
    <w:basedOn w:val="DefaultParagraphFont"/>
    <w:rsid w:val="00BC03CD"/>
  </w:style>
  <w:style w:type="paragraph" w:customStyle="1" w:styleId="ListBullet01">
    <w:name w:val="List_Bullet01"/>
    <w:next w:val="Normal"/>
    <w:rsid w:val="00BC03CD"/>
    <w:pPr>
      <w:numPr>
        <w:numId w:val="1"/>
      </w:numPr>
      <w:spacing w:before="200"/>
    </w:pPr>
    <w:rPr>
      <w:rFonts w:ascii="Arial" w:hAnsi="Arial"/>
      <w:szCs w:val="24"/>
    </w:rPr>
  </w:style>
  <w:style w:type="paragraph" w:styleId="BalloonText">
    <w:name w:val="Balloon Text"/>
    <w:basedOn w:val="Normal"/>
    <w:link w:val="BalloonTextChar"/>
    <w:rsid w:val="00C90F36"/>
    <w:rPr>
      <w:rFonts w:ascii="Tahoma" w:hAnsi="Tahoma" w:cs="Tahoma"/>
      <w:sz w:val="16"/>
      <w:szCs w:val="16"/>
    </w:rPr>
  </w:style>
  <w:style w:type="character" w:customStyle="1" w:styleId="BalloonTextChar">
    <w:name w:val="Balloon Text Char"/>
    <w:basedOn w:val="DefaultParagraphFont"/>
    <w:link w:val="BalloonText"/>
    <w:rsid w:val="00C90F36"/>
    <w:rPr>
      <w:rFonts w:ascii="Tahoma" w:hAnsi="Tahoma" w:cs="Tahoma"/>
      <w:sz w:val="16"/>
      <w:szCs w:val="16"/>
    </w:rPr>
  </w:style>
  <w:style w:type="paragraph" w:customStyle="1" w:styleId="ListBullet01Second">
    <w:name w:val="List_Bullet01_Second"/>
    <w:basedOn w:val="ListBullet01"/>
    <w:rsid w:val="00C90F36"/>
    <w:pPr>
      <w:spacing w:before="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C03CD"/>
    <w:pPr>
      <w:tabs>
        <w:tab w:val="center" w:pos="4680"/>
        <w:tab w:val="right" w:pos="9360"/>
      </w:tabs>
    </w:pPr>
  </w:style>
  <w:style w:type="character" w:customStyle="1" w:styleId="HeaderChar">
    <w:name w:val="Header Char"/>
    <w:basedOn w:val="DefaultParagraphFont"/>
    <w:link w:val="Header"/>
    <w:rsid w:val="00BC03CD"/>
    <w:rPr>
      <w:sz w:val="24"/>
      <w:szCs w:val="24"/>
    </w:rPr>
  </w:style>
  <w:style w:type="paragraph" w:styleId="Footer">
    <w:name w:val="footer"/>
    <w:basedOn w:val="Normal"/>
    <w:link w:val="FooterChar"/>
    <w:rsid w:val="00BC03CD"/>
    <w:pPr>
      <w:tabs>
        <w:tab w:val="center" w:pos="4680"/>
        <w:tab w:val="right" w:pos="9360"/>
      </w:tabs>
    </w:pPr>
  </w:style>
  <w:style w:type="character" w:customStyle="1" w:styleId="FooterChar">
    <w:name w:val="Footer Char"/>
    <w:basedOn w:val="DefaultParagraphFont"/>
    <w:link w:val="Footer"/>
    <w:rsid w:val="00BC03CD"/>
    <w:rPr>
      <w:sz w:val="24"/>
      <w:szCs w:val="24"/>
    </w:rPr>
  </w:style>
  <w:style w:type="character" w:styleId="PageNumber">
    <w:name w:val="page number"/>
    <w:basedOn w:val="DefaultParagraphFont"/>
    <w:rsid w:val="00BC03CD"/>
  </w:style>
  <w:style w:type="paragraph" w:customStyle="1" w:styleId="ListBullet01">
    <w:name w:val="List_Bullet01"/>
    <w:next w:val="Normal"/>
    <w:rsid w:val="00BC03CD"/>
    <w:pPr>
      <w:numPr>
        <w:numId w:val="1"/>
      </w:numPr>
      <w:spacing w:before="200"/>
    </w:pPr>
    <w:rPr>
      <w:rFonts w:ascii="Arial" w:hAnsi="Arial"/>
      <w:szCs w:val="24"/>
    </w:rPr>
  </w:style>
  <w:style w:type="paragraph" w:styleId="BalloonText">
    <w:name w:val="Balloon Text"/>
    <w:basedOn w:val="Normal"/>
    <w:link w:val="BalloonTextChar"/>
    <w:rsid w:val="00C90F36"/>
    <w:rPr>
      <w:rFonts w:ascii="Tahoma" w:hAnsi="Tahoma" w:cs="Tahoma"/>
      <w:sz w:val="16"/>
      <w:szCs w:val="16"/>
    </w:rPr>
  </w:style>
  <w:style w:type="character" w:customStyle="1" w:styleId="BalloonTextChar">
    <w:name w:val="Balloon Text Char"/>
    <w:basedOn w:val="DefaultParagraphFont"/>
    <w:link w:val="BalloonText"/>
    <w:rsid w:val="00C90F36"/>
    <w:rPr>
      <w:rFonts w:ascii="Tahoma" w:hAnsi="Tahoma" w:cs="Tahoma"/>
      <w:sz w:val="16"/>
      <w:szCs w:val="16"/>
    </w:rPr>
  </w:style>
  <w:style w:type="paragraph" w:customStyle="1" w:styleId="ListBullet01Second">
    <w:name w:val="List_Bullet01_Second"/>
    <w:basedOn w:val="ListBullet01"/>
    <w:rsid w:val="00C90F36"/>
    <w:pPr>
      <w:spacing w:before="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1414</Words>
  <Characters>8065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Elward</dc:creator>
  <cp:lastModifiedBy>Elward</cp:lastModifiedBy>
  <cp:revision>2</cp:revision>
  <cp:lastPrinted>2012-03-28T15:29:00Z</cp:lastPrinted>
  <dcterms:created xsi:type="dcterms:W3CDTF">2012-06-16T01:46:00Z</dcterms:created>
  <dcterms:modified xsi:type="dcterms:W3CDTF">2012-06-16T01:46:00Z</dcterms:modified>
</cp:coreProperties>
</file>