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22560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C65DF3">
        <w:rPr>
          <w:rFonts w:ascii="Century Gothic" w:hAnsi="Century Gothic"/>
          <w:u w:val="single"/>
        </w:rPr>
        <w:t>Fritzner Marc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65DF3">
        <w:rPr>
          <w:rFonts w:ascii="Century Gothic" w:hAnsi="Century Gothic"/>
          <w:u w:val="single"/>
        </w:rPr>
        <w:t>10/13/2025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3B9B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65DF3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65DF3">
        <w:rPr>
          <w:rFonts w:ascii="Century Gothic" w:hAnsi="Century Gothic"/>
          <w:u w:val="single"/>
        </w:rPr>
        <w:t>12/4/2024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07C64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65D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38C7BA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65D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111834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C65DF3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C65DF3">
        <w:rPr>
          <w:rFonts w:ascii="Century Gothic" w:hAnsi="Century Gothic"/>
          <w:bCs/>
          <w:color w:val="FF0000"/>
          <w:sz w:val="32"/>
          <w:szCs w:val="32"/>
        </w:rPr>
        <w:t xml:space="preserve"> 10/10/2025 and 10/13/2025. (NCNS)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5542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65DF3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2025-10-13T15:22:00Z</dcterms:created>
  <dcterms:modified xsi:type="dcterms:W3CDTF">2025-10-13T15:22:00Z</dcterms:modified>
</cp:coreProperties>
</file>