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styles.xml" ContentType="application/vnd.openxmlformats-officedocument.wordprocessingml.styles+xml"/>
  <Default Extension="rels" ContentType="application/vnd.openxmlformats-package.relationship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sdt>
      <w:sdtPr>
        <w:id w:val="4937790"/>
        <w:docPartObj>
          <w:docPartGallery w:val="Cover Pages"/>
          <w:docPartUnique/>
        </w:docPartObj>
      </w:sdtPr>
      <w:sdtContent>
        <w:p w:rsidR="00287AE8" w:rsidRPr="00961EC3" w:rsidRDefault="00287AE8" w:rsidP="00961EC3">
          <w:pPr>
            <w:spacing w:after="720"/>
            <w:sectPr w:rsidR="00287AE8" w:rsidRPr="00961EC3" w:rsidSect="00287AE8">
              <w:pgSz w:w="12240" w:h="15840"/>
              <w:pgMar w:top="1440" w:right="1800" w:bottom="1440" w:left="1800" w:gutter="0"/>
              <w:titlePg/>
            </w:sectPr>
          </w:pPr>
          <w:r>
            <w:rPr>
              <w:noProof/>
            </w:rPr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68" type="#_x0000_t202" style="position:absolute;margin-left:54pt;margin-top:460.8pt;width:7in;height:77.8pt;z-index:251661312;mso-position-horizontal-relative:page;mso-position-vertical:absolute;mso-position-vertical-relative:page" stroked="f">
                <v:textbox>
                  <w:txbxContent>
                    <w:p w:rsidR="00287AE8" w:rsidRDefault="00287AE8">
                      <w:pPr>
                        <w:pBdr>
                          <w:left w:val="single" w:sz="24" w:space="4" w:color="8DB3E2" w:themeColor="text2" w:themeTint="66"/>
                        </w:pBdr>
                        <w:spacing w:after="120"/>
                        <w:rPr>
                          <w:rFonts w:asciiTheme="majorHAnsi" w:hAnsiTheme="majorHAnsi"/>
                          <w:b/>
                          <w:caps/>
                          <w:color w:val="365F91" w:themeColor="accent1" w:themeShade="BF"/>
                          <w:sz w:val="28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aps/>
                          <w:color w:val="365F91" w:themeColor="accent1" w:themeShade="BF"/>
                          <w:sz w:val="28"/>
                          <w:szCs w:val="20"/>
                        </w:rPr>
                        <w:t>Abstract</w:t>
                      </w:r>
                    </w:p>
                    <w:sdt>
                      <w:sdtP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2"/>
                        </w:rPr>
                        <w:alias w:val="Abstract"/>
                        <w:id w:val="15318901"/>
                        <w:placeholder>
                          <w:docPart w:val="42C76115A4E11B4482F2FE7745A218DD"/>
                        </w:placeholder>
                        <w:showingPlcHdr/>
                        <w:dataBinding w:prefixMappings="xmlns:ns0='http://schemas.microsoft.com/office/2006/coverPageProps' " w:xpath="/ns0:CoverPageProperties[1]/ns0:Abstract[1]" w:storeItemID="{55AF091B-3C7A-41E3-B477-F2FDAA23CFDA}"/>
                        <w:text/>
                      </w:sdtPr>
                      <w:sdtContent>
                        <w:p w:rsidR="00287AE8" w:rsidRDefault="00287AE8">
                          <w:pPr>
                            <w:pBdr>
                              <w:left w:val="single" w:sz="24" w:space="4" w:color="8DB3E2" w:themeColor="text2" w:themeTint="66"/>
                            </w:pBdr>
                            <w:contextualSpacing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2"/>
                            </w:rPr>
                            <w:t>[Type the abstract of the document here. The abstract is typically a short summary of the contents of the document.]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w:r>
        </w:p>
      </w:sdtContent>
    </w:sdt>
    <w:p w:rsidR="00850F3D" w:rsidRDefault="0007737D">
      <w:r>
        <w:rPr>
          <w:rFonts w:ascii="Times New Roman" w:hAnsi="Times New Roman" w:cs="Times New Roman"/>
          <w:b/>
          <w:sz w:val="36"/>
        </w:rPr>
        <w:t>Anthony Finlay</w:t>
      </w:r>
    </w:p>
    <w:p w:rsidR="00850F3D" w:rsidRPr="00287AE8" w:rsidRDefault="0007737D">
      <w:pPr>
        <w:jc w:val="right"/>
        <w:rPr>
          <w:sz w:val="28"/>
        </w:rPr>
      </w:pPr>
      <w:r w:rsidRPr="00287AE8">
        <w:rPr>
          <w:rFonts w:ascii="Times" w:hAnsi="Times" w:cs="Times"/>
          <w:i/>
          <w:sz w:val="28"/>
        </w:rPr>
        <w:t>4703 W 52nd Ave #507, Denver, CO 80212 (219) 380-1660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32"/>
        </w:rPr>
      </w:pPr>
      <w:r w:rsidRPr="00287AE8">
        <w:rPr>
          <w:rFonts w:ascii="Times" w:hAnsi="Times" w:cs="Times"/>
          <w:b/>
          <w:sz w:val="32"/>
          <w:u w:val="single"/>
        </w:rPr>
        <w:t>Profile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b/>
          <w:sz w:val="28"/>
        </w:rPr>
        <w:t xml:space="preserve">Problem Solver: </w:t>
      </w:r>
      <w:r w:rsidRPr="00287AE8">
        <w:rPr>
          <w:rFonts w:ascii="Times New Roman" w:hAnsi="Times New Roman" w:cs="Times New Roman"/>
          <w:sz w:val="28"/>
        </w:rPr>
        <w:t>An intellectual mind paired with a desire to face and conquer new challenges makes me a valuable asset, especially when any sort of mathematical calculations are involved.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b/>
          <w:sz w:val="28"/>
        </w:rPr>
        <w:t>Team Player:</w:t>
      </w:r>
      <w:r w:rsidRPr="00287AE8">
        <w:rPr>
          <w:rFonts w:ascii="Times New Roman" w:hAnsi="Times New Roman" w:cs="Times New Roman"/>
          <w:sz w:val="28"/>
        </w:rPr>
        <w:t> Being a multi-sport athlete throughout my childhood has instilled in me the principles of a true team player.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b/>
          <w:sz w:val="28"/>
        </w:rPr>
        <w:t xml:space="preserve">Eager to Learn: </w:t>
      </w:r>
      <w:r w:rsidRPr="00287AE8">
        <w:rPr>
          <w:rFonts w:ascii="Times New Roman" w:hAnsi="Times New Roman" w:cs="Times New Roman"/>
          <w:sz w:val="28"/>
        </w:rPr>
        <w:t>Ready to commit long-term with a Wind Energy company.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32"/>
        </w:rPr>
      </w:pPr>
      <w:r w:rsidRPr="00287AE8">
        <w:rPr>
          <w:rFonts w:ascii="Times" w:hAnsi="Times" w:cs="Times"/>
          <w:b/>
          <w:sz w:val="32"/>
          <w:u w:val="single"/>
        </w:rPr>
        <w:t>Experience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b/>
          <w:i/>
          <w:sz w:val="28"/>
        </w:rPr>
        <w:t>Biking Delivery Person/ Jimmy John’s- Bloomington, IN 9/11-11/11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sz w:val="28"/>
        </w:rPr>
        <w:t>During my time at Indiana University, I biked around campus delivering sandwiches for Jimmy John’s customers.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b/>
          <w:i/>
          <w:sz w:val="28"/>
        </w:rPr>
        <w:t>Sales Associate/ Polo Ralph Lauren Outlet- Michigan City, IN 10/10- 7/11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sz w:val="28"/>
        </w:rPr>
        <w:t>My responsibilities at this store included upkeep of the store’s inventory, customer service, and running the cash register.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b/>
          <w:i/>
          <w:sz w:val="28"/>
        </w:rPr>
        <w:t>Contractor’s Apprentice/ R&amp;R Construction- La Porte, IN 6/09-8/09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sz w:val="28"/>
        </w:rPr>
        <w:t xml:space="preserve">The summer following my sophomore year in high school was spent working on a construction site. From breaking ground to </w:t>
      </w:r>
      <w:proofErr w:type="spellStart"/>
      <w:r w:rsidRPr="00287AE8">
        <w:rPr>
          <w:rFonts w:ascii="Times" w:hAnsi="Times" w:cs="Times"/>
          <w:sz w:val="28"/>
        </w:rPr>
        <w:t>drywalling</w:t>
      </w:r>
      <w:proofErr w:type="spellEnd"/>
      <w:r w:rsidRPr="00287AE8">
        <w:rPr>
          <w:rFonts w:ascii="Times" w:hAnsi="Times" w:cs="Times"/>
          <w:sz w:val="28"/>
        </w:rPr>
        <w:t xml:space="preserve"> the interior, my responsibilities included everything involved with the construction of a two-story home.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b/>
          <w:i/>
          <w:sz w:val="28"/>
        </w:rPr>
        <w:t xml:space="preserve">Carpenter/ </w:t>
      </w:r>
      <w:proofErr w:type="spellStart"/>
      <w:r w:rsidRPr="00287AE8">
        <w:rPr>
          <w:rFonts w:ascii="Times" w:hAnsi="Times" w:cs="Times"/>
          <w:b/>
          <w:i/>
          <w:sz w:val="28"/>
        </w:rPr>
        <w:t>Fas</w:t>
      </w:r>
      <w:proofErr w:type="spellEnd"/>
      <w:r w:rsidRPr="00287AE8">
        <w:rPr>
          <w:rFonts w:ascii="Times" w:hAnsi="Times" w:cs="Times"/>
          <w:b/>
          <w:i/>
          <w:sz w:val="28"/>
        </w:rPr>
        <w:t>-Pak- La Porte, IN 6/10-8/09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sz w:val="28"/>
        </w:rPr>
        <w:t>This summer was spent tending to the infrastructural needs of a rapidly expanding chemical factory.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b/>
          <w:i/>
          <w:sz w:val="28"/>
        </w:rPr>
        <w:t>Crew Member/ McDonald’s – La Porte, IN 10/07-8/08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" w:hAnsi="Times" w:cs="Times"/>
          <w:sz w:val="28"/>
        </w:rPr>
        <w:t>At McDonald’s I worked as a general crew worker. Responsibilities ranged from cashier, working the grill, making various food items, to operating the drive-thru window.</w:t>
      </w:r>
    </w:p>
    <w:p w:rsidR="00850F3D" w:rsidRPr="00287AE8" w:rsidRDefault="00850F3D">
      <w:pPr>
        <w:rPr>
          <w:sz w:val="32"/>
        </w:rPr>
      </w:pPr>
    </w:p>
    <w:p w:rsidR="00850F3D" w:rsidRPr="00287AE8" w:rsidRDefault="0007737D">
      <w:pPr>
        <w:rPr>
          <w:sz w:val="32"/>
        </w:rPr>
      </w:pPr>
      <w:r w:rsidRPr="00287AE8">
        <w:rPr>
          <w:rFonts w:ascii="Times New Roman" w:hAnsi="Times New Roman" w:cs="Times New Roman"/>
          <w:b/>
          <w:sz w:val="32"/>
          <w:u w:val="single"/>
        </w:rPr>
        <w:t>Education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Redstone College, Broomfield, CO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2012-present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GPA: 4.0</w:t>
      </w:r>
    </w:p>
    <w:p w:rsidR="00850F3D" w:rsidRPr="00287AE8" w:rsidRDefault="00850F3D">
      <w:pPr>
        <w:rPr>
          <w:sz w:val="28"/>
        </w:rPr>
      </w:pP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La Porte High School, La Porte, IN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2008-2011</w:t>
      </w:r>
    </w:p>
    <w:p w:rsidR="00850F3D" w:rsidRPr="00287AE8" w:rsidRDefault="0007737D">
      <w:pPr>
        <w:rPr>
          <w:sz w:val="28"/>
        </w:rPr>
      </w:pPr>
      <w:r w:rsidRPr="00287AE8">
        <w:rPr>
          <w:rFonts w:ascii="Times New Roman" w:hAnsi="Times New Roman" w:cs="Times New Roman"/>
          <w:sz w:val="28"/>
        </w:rPr>
        <w:t>GPA: 3.45</w:t>
      </w:r>
    </w:p>
    <w:p w:rsidR="0007737D" w:rsidRPr="00287AE8" w:rsidRDefault="0007737D">
      <w:pPr>
        <w:rPr>
          <w:rFonts w:ascii="Times New Roman" w:hAnsi="Times New Roman" w:cs="Times New Roman"/>
          <w:sz w:val="28"/>
        </w:rPr>
      </w:pPr>
      <w:r w:rsidRPr="00287AE8">
        <w:rPr>
          <w:rFonts w:ascii="Times New Roman" w:hAnsi="Times New Roman" w:cs="Times New Roman"/>
          <w:sz w:val="28"/>
        </w:rPr>
        <w:t>Academic Honors Diploma</w:t>
      </w:r>
    </w:p>
    <w:p w:rsidR="0007737D" w:rsidRDefault="0007737D">
      <w:pPr>
        <w:rPr>
          <w:rFonts w:ascii="Times New Roman" w:hAnsi="Times New Roman" w:cs="Times New Roman"/>
        </w:rPr>
      </w:pPr>
    </w:p>
    <w:p w:rsidR="0007737D" w:rsidRDefault="0007737D" w:rsidP="0007737D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Skills</w:t>
      </w:r>
    </w:p>
    <w:p w:rsidR="0007737D" w:rsidRP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07737D">
        <w:rPr>
          <w:rFonts w:ascii="Times New Roman" w:hAnsi="Times New Roman" w:cs="Times New Roman"/>
          <w:sz w:val="32"/>
        </w:rPr>
        <w:t>Trained in High Voltage Safety.</w:t>
      </w:r>
    </w:p>
    <w:p w:rsid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Knowledge and skills for composite repair.</w:t>
      </w:r>
    </w:p>
    <w:p w:rsid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Shaft alignment using dial indicator and trigonometry.</w:t>
      </w:r>
    </w:p>
    <w:p w:rsid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Calculating center of gravity of for lifting with straps.</w:t>
      </w:r>
    </w:p>
    <w:p w:rsid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Calculating sling load using trigonometry.</w:t>
      </w:r>
    </w:p>
    <w:p w:rsid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Calculating force, pressure, work, and power throughout a hydraulic system.</w:t>
      </w:r>
    </w:p>
    <w:p w:rsidR="0007737D" w:rsidRPr="0007737D" w:rsidRDefault="0007737D" w:rsidP="000773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Calculating turbine power using swept area formula as well as Torque x Speed w/ gear ratios. </w:t>
      </w:r>
    </w:p>
    <w:p w:rsidR="0007737D" w:rsidRDefault="0007737D" w:rsidP="0007737D">
      <w:pPr>
        <w:rPr>
          <w:rFonts w:ascii="Times New Roman" w:hAnsi="Times New Roman" w:cs="Times New Roman"/>
          <w:b/>
          <w:sz w:val="32"/>
          <w:u w:val="single"/>
        </w:rPr>
      </w:pPr>
    </w:p>
    <w:p w:rsidR="0007737D" w:rsidRDefault="0007737D" w:rsidP="0007737D">
      <w:pPr>
        <w:rPr>
          <w:rFonts w:ascii="Times New Roman" w:hAnsi="Times New Roman" w:cs="Times New Roman"/>
          <w:b/>
          <w:sz w:val="32"/>
          <w:u w:val="single"/>
        </w:rPr>
      </w:pPr>
    </w:p>
    <w:p w:rsidR="0007737D" w:rsidRDefault="0007737D" w:rsidP="0007737D">
      <w:pPr>
        <w:rPr>
          <w:rFonts w:ascii="Times New Roman" w:hAnsi="Times New Roman" w:cs="Times New Roman"/>
          <w:b/>
          <w:sz w:val="32"/>
          <w:u w:val="single"/>
        </w:rPr>
      </w:pPr>
    </w:p>
    <w:p w:rsidR="0007737D" w:rsidRDefault="0007737D" w:rsidP="0007737D">
      <w:r>
        <w:rPr>
          <w:rFonts w:ascii="Times New Roman" w:hAnsi="Times New Roman" w:cs="Times New Roman"/>
          <w:b/>
          <w:sz w:val="32"/>
          <w:u w:val="single"/>
        </w:rPr>
        <w:t>Certifications</w:t>
      </w:r>
    </w:p>
    <w:p w:rsidR="0007737D" w:rsidRDefault="0007737D" w:rsidP="0007737D"/>
    <w:p w:rsidR="0007737D" w:rsidRDefault="0007737D" w:rsidP="0007737D">
      <w:pPr>
        <w:ind w:left="720"/>
      </w:pPr>
      <w:r>
        <w:rPr>
          <w:rFonts w:ascii="Times New Roman" w:hAnsi="Times New Roman" w:cs="Times New Roman"/>
          <w:sz w:val="36"/>
        </w:rPr>
        <w:tab/>
        <w:t>•</w:t>
      </w:r>
      <w:r>
        <w:rPr>
          <w:rFonts w:ascii="Times New Roman" w:hAnsi="Times New Roman" w:cs="Times New Roman"/>
          <w:sz w:val="36"/>
        </w:rPr>
        <w:tab/>
        <w:t xml:space="preserve">CPR and AED </w:t>
      </w:r>
    </w:p>
    <w:p w:rsidR="0007737D" w:rsidRDefault="0007737D" w:rsidP="0007737D">
      <w:pPr>
        <w:ind w:left="720"/>
      </w:pPr>
      <w:r>
        <w:rPr>
          <w:rFonts w:ascii="Times New Roman" w:hAnsi="Times New Roman" w:cs="Times New Roman"/>
          <w:sz w:val="36"/>
        </w:rPr>
        <w:tab/>
        <w:t>•</w:t>
      </w:r>
      <w:r>
        <w:rPr>
          <w:rFonts w:ascii="Times New Roman" w:hAnsi="Times New Roman" w:cs="Times New Roman"/>
          <w:sz w:val="36"/>
        </w:rPr>
        <w:tab/>
        <w:t>DBI SALA Fall Protection and Rescue</w:t>
      </w:r>
    </w:p>
    <w:p w:rsidR="0007737D" w:rsidRDefault="0007737D" w:rsidP="0007737D">
      <w:pPr>
        <w:ind w:left="720"/>
      </w:pPr>
      <w:r>
        <w:rPr>
          <w:rFonts w:ascii="Times New Roman" w:hAnsi="Times New Roman" w:cs="Times New Roman"/>
          <w:sz w:val="36"/>
        </w:rPr>
        <w:tab/>
        <w:t>•</w:t>
      </w:r>
      <w:r>
        <w:rPr>
          <w:rFonts w:ascii="Times New Roman" w:hAnsi="Times New Roman" w:cs="Times New Roman"/>
          <w:sz w:val="36"/>
        </w:rPr>
        <w:tab/>
        <w:t>Occupational Safety and Health Administration</w:t>
      </w:r>
    </w:p>
    <w:p w:rsidR="0007737D" w:rsidRDefault="0007737D" w:rsidP="0007737D">
      <w:pPr>
        <w:ind w:left="1440"/>
      </w:pPr>
      <w:r>
        <w:rPr>
          <w:rFonts w:ascii="Times New Roman" w:hAnsi="Times New Roman" w:cs="Times New Roman"/>
          <w:sz w:val="36"/>
        </w:rPr>
        <w:t xml:space="preserve">(OSHA) 30 </w:t>
      </w:r>
    </w:p>
    <w:p w:rsidR="00850F3D" w:rsidRDefault="00850F3D"/>
    <w:p w:rsidR="00850F3D" w:rsidRDefault="00850F3D"/>
    <w:p w:rsidR="00850F3D" w:rsidRDefault="0007737D">
      <w:r>
        <w:rPr>
          <w:rFonts w:ascii="Times" w:hAnsi="Times" w:cs="Times"/>
          <w:sz w:val="32"/>
        </w:rPr>
        <w:t> </w:t>
      </w:r>
    </w:p>
    <w:p w:rsidR="00850F3D" w:rsidRDefault="0007737D">
      <w:pPr>
        <w:jc w:val="center"/>
      </w:pPr>
      <w:r>
        <w:rPr>
          <w:rFonts w:ascii="Times" w:hAnsi="Times" w:cs="Times"/>
          <w:sz w:val="54"/>
        </w:rPr>
        <w:t>WIND ENERGY TECHNOLOGY COURSES</w:t>
      </w:r>
    </w:p>
    <w:p w:rsidR="00850F3D" w:rsidRDefault="00850F3D">
      <w:pPr>
        <w:spacing w:after="80"/>
      </w:pPr>
    </w:p>
    <w:p w:rsidR="00850F3D" w:rsidRDefault="0007737D">
      <w:pPr>
        <w:spacing w:after="80"/>
        <w:jc w:val="center"/>
      </w:pPr>
      <w:r>
        <w:rPr>
          <w:rFonts w:ascii="Times" w:hAnsi="Times" w:cs="Times"/>
          <w:sz w:val="38"/>
        </w:rPr>
        <w:t>The Redstone College wind energy technology program consists of 15 months of courses totaling 1,584 clock hours.</w:t>
      </w:r>
    </w:p>
    <w:p w:rsidR="00850F3D" w:rsidRDefault="0007737D">
      <w:pPr>
        <w:spacing w:after="80"/>
      </w:pPr>
      <w:r>
        <w:rPr>
          <w:rFonts w:ascii="Times" w:hAnsi="Times" w:cs="Times"/>
          <w:sz w:val="32"/>
        </w:rPr>
        <w:t>Listed below is the course curriculum: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EL101 Foundation of Electronics</w:t>
      </w:r>
      <w:r>
        <w:rPr>
          <w:rFonts w:ascii="Times" w:hAnsi="Times" w:cs="Times"/>
          <w:sz w:val="32"/>
        </w:rPr>
        <w:t xml:space="preserve"> 9.0 Credit Hours Introduction to basic theory and physics of electricity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EL102 DC/AC Fundamentals</w:t>
      </w:r>
      <w:r>
        <w:rPr>
          <w:rFonts w:ascii="Times" w:hAnsi="Times" w:cs="Times"/>
          <w:sz w:val="32"/>
        </w:rPr>
        <w:t xml:space="preserve"> 9.0 Credit Hours Introduction to AC electronics and continuation in the study of DC circuits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EL103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Solid State Theory</w:t>
      </w:r>
      <w:r>
        <w:rPr>
          <w:rFonts w:ascii="Times" w:hAnsi="Times" w:cs="Times"/>
          <w:sz w:val="32"/>
        </w:rPr>
        <w:t xml:space="preserve"> 9.0 Credit Hours Amplification including bipolar transistors, field effect transistors and operational amplifiers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EL104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Digital Electronics</w:t>
      </w:r>
      <w:r>
        <w:rPr>
          <w:rFonts w:ascii="Times" w:hAnsi="Times" w:cs="Times"/>
          <w:sz w:val="32"/>
        </w:rPr>
        <w:t xml:space="preserve"> 9.0 Credit Hours Digital circuit techniques as applied to instrumentation and digital circuits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WN101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Introduction to Wind Energy</w:t>
      </w:r>
      <w:r>
        <w:rPr>
          <w:rFonts w:ascii="Times" w:hAnsi="Times" w:cs="Times"/>
          <w:sz w:val="32"/>
        </w:rPr>
        <w:t xml:space="preserve"> 12.0 Credit Hours The history and development of large wind turbines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WN102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Wind Turbine Design</w:t>
      </w:r>
      <w:r>
        <w:rPr>
          <w:rFonts w:ascii="Times" w:hAnsi="Times" w:cs="Times"/>
          <w:sz w:val="32"/>
        </w:rPr>
        <w:t xml:space="preserve"> 12.0 Credit Hours Introduction to wind turbine major components and metrics</w:t>
      </w:r>
    </w:p>
    <w:p w:rsidR="00850F3D" w:rsidRDefault="00850F3D">
      <w:pPr>
        <w:spacing w:after="80"/>
      </w:pP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WN103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Electrical System</w:t>
      </w:r>
      <w:r>
        <w:rPr>
          <w:rFonts w:ascii="Times" w:hAnsi="Times" w:cs="Times"/>
          <w:sz w:val="32"/>
        </w:rPr>
        <w:t xml:space="preserve"> 11.0 Credit Hours Introduction to special electrical requirements for wind turbines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WN104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Wind Turbine Structure</w:t>
      </w:r>
      <w:r>
        <w:rPr>
          <w:rFonts w:ascii="Times" w:hAnsi="Times" w:cs="Times"/>
          <w:sz w:val="32"/>
        </w:rPr>
        <w:t xml:space="preserve"> 10.0 Credit Hours Introduction to blade composition and repair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WN105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sz w:val="32"/>
        </w:rPr>
        <w:t>Wind Turbine Systems and Components I</w:t>
      </w:r>
      <w:r>
        <w:rPr>
          <w:rFonts w:ascii="Times" w:hAnsi="Times" w:cs="Times"/>
          <w:sz w:val="32"/>
        </w:rPr>
        <w:t xml:space="preserve"> 10.0 Credit Hours Introduction to wind turbine systems and components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WN106 Wind Turbine Systems and Components II</w:t>
      </w:r>
      <w:r>
        <w:rPr>
          <w:rFonts w:ascii="Times" w:hAnsi="Times" w:cs="Times"/>
          <w:sz w:val="32"/>
        </w:rPr>
        <w:t xml:space="preserve"> 10.0 Credit Hours In-depth study of wind turbine systems and components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>WN107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b/>
          <w:color w:val="1F1F1F"/>
          <w:sz w:val="32"/>
        </w:rPr>
        <w:t>Wind Turbine Inspection and Troubleshooting</w:t>
      </w:r>
      <w:r>
        <w:rPr>
          <w:rFonts w:ascii="Times" w:hAnsi="Times" w:cs="Times"/>
          <w:sz w:val="32"/>
        </w:rPr>
        <w:t xml:space="preserve"> 10.0 Credit Hours Introduction to inspecting and troubleshooting wind turbine electrical </w:t>
      </w:r>
      <w:r>
        <w:rPr>
          <w:rFonts w:ascii="Times" w:hAnsi="Times" w:cs="Times"/>
          <w:color w:val="1F1F1F"/>
          <w:sz w:val="32"/>
        </w:rPr>
        <w:t>and mechanical systems</w:t>
      </w:r>
    </w:p>
    <w:p w:rsidR="00850F3D" w:rsidRDefault="00850F3D">
      <w:pPr>
        <w:spacing w:after="80"/>
      </w:pPr>
    </w:p>
    <w:p w:rsidR="00850F3D" w:rsidRDefault="0007737D">
      <w:pPr>
        <w:spacing w:after="80"/>
      </w:pPr>
      <w:r>
        <w:rPr>
          <w:rFonts w:ascii="Times" w:hAnsi="Times" w:cs="Times"/>
          <w:b/>
          <w:sz w:val="32"/>
        </w:rPr>
        <w:t xml:space="preserve">WN108 </w:t>
      </w:r>
      <w:r>
        <w:rPr>
          <w:rFonts w:ascii="Times" w:hAnsi="Times" w:cs="Times"/>
          <w:b/>
          <w:color w:val="1F1F1F"/>
          <w:sz w:val="32"/>
        </w:rPr>
        <w:t>Wind Turbine Safety</w:t>
      </w:r>
      <w:r>
        <w:rPr>
          <w:rFonts w:ascii="Times" w:hAnsi="Times" w:cs="Times"/>
          <w:color w:val="1F1F1F"/>
          <w:sz w:val="32"/>
        </w:rPr>
        <w:t>10</w:t>
      </w:r>
      <w:r>
        <w:rPr>
          <w:rFonts w:ascii="Times" w:hAnsi="Times" w:cs="Times"/>
          <w:sz w:val="32"/>
        </w:rPr>
        <w:t>.0 Credit Hours In-depth study of wind turbine safety and training issues</w:t>
      </w:r>
    </w:p>
    <w:p w:rsidR="00850F3D" w:rsidRDefault="00850F3D"/>
    <w:p w:rsidR="00850F3D" w:rsidRDefault="0007737D">
      <w:pPr>
        <w:ind w:left="1440"/>
      </w:pPr>
      <w:r>
        <w:rPr>
          <w:rFonts w:ascii="Times New Roman" w:hAnsi="Times New Roman" w:cs="Times New Roman"/>
          <w:sz w:val="36"/>
        </w:rPr>
        <w:t xml:space="preserve"> </w:t>
      </w:r>
    </w:p>
    <w:p w:rsidR="00850F3D" w:rsidRDefault="00850F3D">
      <w:pPr>
        <w:ind w:left="1440"/>
      </w:pPr>
    </w:p>
    <w:p w:rsidR="00850F3D" w:rsidRDefault="00850F3D">
      <w:pPr>
        <w:ind w:left="1080"/>
      </w:pPr>
    </w:p>
    <w:sectPr w:rsidR="00850F3D" w:rsidSect="00287AE8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507F3D"/>
    <w:multiLevelType w:val="hybridMultilevel"/>
    <w:tmpl w:val="746CC708"/>
    <w:lvl w:ilvl="0" w:tplc="9508ED6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612F4A"/>
    <w:multiLevelType w:val="hybridMultilevel"/>
    <w:tmpl w:val="E458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F0D22"/>
    <w:multiLevelType w:val="hybridMultilevel"/>
    <w:tmpl w:val="212C0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FELayout/>
  </w:compat>
  <w:rsids>
    <w:rsidRoot w:val="00850F3D"/>
    <w:rsid w:val="0007737D"/>
    <w:rsid w:val="00287AE8"/>
    <w:rsid w:val="00850F3D"/>
    <w:rsid w:val="00961EC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7737D"/>
    <w:pPr>
      <w:ind w:left="720"/>
      <w:contextualSpacing/>
    </w:pPr>
  </w:style>
  <w:style w:type="paragraph" w:styleId="NoSpacing">
    <w:name w:val="No Spacing"/>
    <w:link w:val="NoSpacingChar"/>
    <w:qFormat/>
    <w:rsid w:val="00287AE8"/>
    <w:pPr>
      <w:spacing w:after="0"/>
    </w:pPr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287AE8"/>
    <w:rPr>
      <w:rFonts w:ascii="PMingLiU" w:hAnsi="PMingLiU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42C76115A4E11B4482F2FE7745A2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5A1D-3861-9A4C-83A7-AF5201C9A579}"/>
      </w:docPartPr>
      <w:docPartBody>
        <w:p w:rsidR="00795E6B" w:rsidRDefault="00795E6B" w:rsidP="00795E6B">
          <w:pPr>
            <w:pStyle w:val="42C76115A4E11B4482F2FE7745A218DD"/>
          </w:pPr>
          <w:r>
            <w:rPr>
              <w:rFonts w:asciiTheme="majorHAnsi" w:hAnsiTheme="majorHAnsi"/>
              <w:color w:val="000000" w:themeColor="text1"/>
            </w:rPr>
            <w:t>[Type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795E6B"/>
    <w:rsid w:val="00795E6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A505779F4812544B7454655280D8A4D">
    <w:name w:val="FA505779F4812544B7454655280D8A4D"/>
    <w:rsid w:val="00795E6B"/>
  </w:style>
  <w:style w:type="paragraph" w:customStyle="1" w:styleId="DBBF12D528057047865959FF7C31040F">
    <w:name w:val="DBBF12D528057047865959FF7C31040F"/>
    <w:rsid w:val="00795E6B"/>
  </w:style>
  <w:style w:type="paragraph" w:customStyle="1" w:styleId="DACF27641FC7A146804E32DF702D4733">
    <w:name w:val="DACF27641FC7A146804E32DF702D4733"/>
    <w:rsid w:val="00795E6B"/>
  </w:style>
  <w:style w:type="paragraph" w:customStyle="1" w:styleId="B44FEDD4FAFEC04EACF8B0E76D3CFB1D">
    <w:name w:val="B44FEDD4FAFEC04EACF8B0E76D3CFB1D"/>
    <w:rsid w:val="00795E6B"/>
  </w:style>
  <w:style w:type="paragraph" w:customStyle="1" w:styleId="F5E09511C1C0D942A19E8BA50231D4B4">
    <w:name w:val="F5E09511C1C0D942A19E8BA50231D4B4"/>
    <w:rsid w:val="00795E6B"/>
  </w:style>
  <w:style w:type="paragraph" w:customStyle="1" w:styleId="8A2EA83DFF6FAA44AE0AD6E413B770CF">
    <w:name w:val="8A2EA83DFF6FAA44AE0AD6E413B770CF"/>
    <w:rsid w:val="00795E6B"/>
  </w:style>
  <w:style w:type="paragraph" w:customStyle="1" w:styleId="0CCA6AA371A5E9498713BCA489B67FD2">
    <w:name w:val="0CCA6AA371A5E9498713BCA489B67FD2"/>
    <w:rsid w:val="00795E6B"/>
  </w:style>
  <w:style w:type="paragraph" w:customStyle="1" w:styleId="3B622655AA472C4C99BAC992805CFA27">
    <w:name w:val="3B622655AA472C4C99BAC992805CFA27"/>
    <w:rsid w:val="00795E6B"/>
  </w:style>
  <w:style w:type="paragraph" w:customStyle="1" w:styleId="D844DB583996D241ABF6B87BC6F1CD98">
    <w:name w:val="D844DB583996D241ABF6B87BC6F1CD98"/>
    <w:rsid w:val="00795E6B"/>
  </w:style>
  <w:style w:type="paragraph" w:customStyle="1" w:styleId="F6FD285E5191234EA665B857447BF2A4">
    <w:name w:val="F6FD285E5191234EA665B857447BF2A4"/>
    <w:rsid w:val="00795E6B"/>
  </w:style>
  <w:style w:type="paragraph" w:customStyle="1" w:styleId="66F9757AE34E67419D96565D7046D78B">
    <w:name w:val="66F9757AE34E67419D96565D7046D78B"/>
    <w:rsid w:val="00795E6B"/>
  </w:style>
  <w:style w:type="paragraph" w:customStyle="1" w:styleId="B60167B930DABC4C8B1AF30760A01C66">
    <w:name w:val="B60167B930DABC4C8B1AF30760A01C66"/>
    <w:rsid w:val="00795E6B"/>
  </w:style>
  <w:style w:type="paragraph" w:customStyle="1" w:styleId="0F12EBCC8D16414885BA45316F50D265">
    <w:name w:val="0F12EBCC8D16414885BA45316F50D265"/>
    <w:rsid w:val="00795E6B"/>
  </w:style>
  <w:style w:type="paragraph" w:customStyle="1" w:styleId="A8155E4BCD5CE84ABA34F9F8172753DB">
    <w:name w:val="A8155E4BCD5CE84ABA34F9F8172753DB"/>
    <w:rsid w:val="00795E6B"/>
  </w:style>
  <w:style w:type="paragraph" w:customStyle="1" w:styleId="78D8875BE140944DB99EC03A4052F92D">
    <w:name w:val="78D8875BE140944DB99EC03A4052F92D"/>
    <w:rsid w:val="00795E6B"/>
  </w:style>
  <w:style w:type="paragraph" w:customStyle="1" w:styleId="45AC5973A39825408CC1D6614308D00B">
    <w:name w:val="45AC5973A39825408CC1D6614308D00B"/>
    <w:rsid w:val="00795E6B"/>
  </w:style>
  <w:style w:type="paragraph" w:customStyle="1" w:styleId="D426A60FED09314599D0018B83B1DAA2">
    <w:name w:val="D426A60FED09314599D0018B83B1DAA2"/>
    <w:rsid w:val="00795E6B"/>
  </w:style>
  <w:style w:type="paragraph" w:customStyle="1" w:styleId="6DCD7DE62A90BA4A8C27DCF68DE82924">
    <w:name w:val="6DCD7DE62A90BA4A8C27DCF68DE82924"/>
    <w:rsid w:val="00795E6B"/>
  </w:style>
  <w:style w:type="paragraph" w:customStyle="1" w:styleId="B2CEBF54DCF0CD4B98BF1F7A1ED5C43F">
    <w:name w:val="B2CEBF54DCF0CD4B98BF1F7A1ED5C43F"/>
    <w:rsid w:val="00795E6B"/>
  </w:style>
  <w:style w:type="paragraph" w:customStyle="1" w:styleId="BED10B187331764E96422C6BDBA5AE2F">
    <w:name w:val="BED10B187331764E96422C6BDBA5AE2F"/>
    <w:rsid w:val="00795E6B"/>
  </w:style>
  <w:style w:type="paragraph" w:customStyle="1" w:styleId="42C76115A4E11B4482F2FE7745A218DD">
    <w:name w:val="42C76115A4E11B4482F2FE7745A218DD"/>
    <w:rsid w:val="00795E6B"/>
  </w:style>
  <w:style w:type="paragraph" w:customStyle="1" w:styleId="11B7AA94129FE74B802C9FCDBA1ADD03">
    <w:name w:val="11B7AA94129FE74B802C9FCDBA1ADD03"/>
    <w:rsid w:val="00795E6B"/>
  </w:style>
  <w:style w:type="paragraph" w:customStyle="1" w:styleId="1E2F98189EB8814785FDB86FEC1B9C88">
    <w:name w:val="1E2F98189EB8814785FDB86FEC1B9C88"/>
    <w:rsid w:val="00795E6B"/>
  </w:style>
  <w:style w:type="paragraph" w:customStyle="1" w:styleId="3233CF1B094F9E4CBDC9143829F78B0D">
    <w:name w:val="3233CF1B094F9E4CBDC9143829F78B0D"/>
    <w:rsid w:val="00795E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CFEDB65D-0903-BD4D-903D-6506765990E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549</Words>
  <Characters>3130</Characters>
  <Application>Microsoft Word 12.0.0</Application>
  <DocSecurity>0</DocSecurity>
  <Lines>26</Lines>
  <Paragraphs>6</Paragraphs>
  <ScaleCrop>false</ScaleCrop>
  <Company>Indiana University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Anthony Finlay</dc:creator>
  <cp:lastModifiedBy>Anthony Finlay</cp:lastModifiedBy>
  <cp:revision>2</cp:revision>
  <dcterms:created xsi:type="dcterms:W3CDTF">2013-03-31T14:46:00Z</dcterms:created>
  <dcterms:modified xsi:type="dcterms:W3CDTF">2013-03-31T15:57:00Z</dcterms:modified>
</cp:coreProperties>
</file>