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0A" w:rsidRDefault="00CF3EB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proofErr w:type="spellStart"/>
      <w:r>
        <w:rPr>
          <w:rFonts w:ascii="TimesNewRomanPSMT" w:eastAsia="TimesNewRomanPSMT" w:hAnsi="TimesNewRomanPSMT" w:cs="TimesNewRomanPSMT"/>
          <w:sz w:val="20"/>
          <w:szCs w:val="20"/>
        </w:rPr>
        <w:t>Leyon</w:t>
      </w:r>
      <w:bookmarkStart w:id="0" w:name="_GoBack"/>
      <w:bookmarkEnd w:id="0"/>
      <w:r w:rsidR="00702833">
        <w:rPr>
          <w:rFonts w:ascii="TimesNewRomanPSMT" w:eastAsia="TimesNewRomanPSMT" w:hAnsi="TimesNewRomanPSMT" w:cs="TimesNewRomanPSMT"/>
          <w:sz w:val="20"/>
          <w:szCs w:val="20"/>
        </w:rPr>
        <w:t>ne</w:t>
      </w:r>
      <w:proofErr w:type="spellEnd"/>
      <w:r w:rsidR="00702833">
        <w:rPr>
          <w:rFonts w:ascii="TimesNewRomanPSMT" w:eastAsia="TimesNewRomanPSMT" w:hAnsi="TimesNewRomanPSMT" w:cs="TimesNewRomanPSMT"/>
          <w:sz w:val="20"/>
          <w:szCs w:val="20"/>
        </w:rPr>
        <w:t xml:space="preserve"> S. </w:t>
      </w:r>
      <w:proofErr w:type="spellStart"/>
      <w:r w:rsidR="00702833">
        <w:rPr>
          <w:rFonts w:ascii="TimesNewRomanPSMT" w:eastAsia="TimesNewRomanPSMT" w:hAnsi="TimesNewRomanPSMT" w:cs="TimesNewRomanPSMT"/>
          <w:sz w:val="20"/>
          <w:szCs w:val="20"/>
        </w:rPr>
        <w:t>Defreese</w:t>
      </w:r>
      <w:proofErr w:type="spellEnd"/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533 Adams Street #4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Hoboken, NJ 07030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201-310-2319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leyonned@gmail.com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 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Career Accomplishments: 9+ years’ experience in administrative environment, Proficient in </w:t>
      </w:r>
      <w:r>
        <w:rPr>
          <w:rFonts w:ascii="TimesNewRomanPSMT" w:eastAsia="TimesNewRomanPSMT" w:hAnsi="TimesNewRomanPSMT" w:cs="TimesNewRomanPSMT"/>
          <w:sz w:val="20"/>
          <w:szCs w:val="20"/>
        </w:rPr>
        <w:t xml:space="preserve">Microsoft Excel and Word, Team player, attention to detail and ability to multi-task. Skills: SAP, Great Plains, JDE, System 36, </w:t>
      </w:r>
      <w:proofErr w:type="spellStart"/>
      <w:r>
        <w:rPr>
          <w:rFonts w:ascii="TimesNewRomanPSMT" w:eastAsia="TimesNewRomanPSMT" w:hAnsi="TimesNewRomanPSMT" w:cs="TimesNewRomanPSMT"/>
          <w:sz w:val="20"/>
          <w:szCs w:val="20"/>
        </w:rPr>
        <w:t>Syspro</w:t>
      </w:r>
      <w:proofErr w:type="spellEnd"/>
      <w:r>
        <w:rPr>
          <w:rFonts w:ascii="TimesNewRomanPSMT" w:eastAsia="TimesNewRomanPSMT" w:hAnsi="TimesNewRomanPSMT" w:cs="TimesNewRomanPSMT"/>
          <w:sz w:val="20"/>
          <w:szCs w:val="20"/>
        </w:rPr>
        <w:t>, COMPASS, EXTRA, CRM databases; knowledge of UPS and FEDEX shipping systems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 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EXPERIENCE: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Glory Global Solutions</w:t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  <w:t xml:space="preserve">        West Caldwell, NJ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Repair Coordinator</w:t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  <w:t xml:space="preserve">   6/2012- Current</w:t>
      </w:r>
    </w:p>
    <w:p w:rsidR="00C05B0A" w:rsidRDefault="00702833">
      <w:pPr>
        <w:pStyle w:val="Standard"/>
        <w:numPr>
          <w:ilvl w:val="0"/>
          <w:numId w:val="5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Ensuring proper and continuous operation of products by coordinating repair assembly units.</w:t>
      </w:r>
    </w:p>
    <w:p w:rsidR="00C05B0A" w:rsidRDefault="00702833">
      <w:pPr>
        <w:pStyle w:val="Standard"/>
        <w:numPr>
          <w:ilvl w:val="0"/>
          <w:numId w:val="1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Receive and arrange returned items to be transferred to proper location using RMA </w:t>
      </w:r>
      <w:r>
        <w:rPr>
          <w:rFonts w:ascii="TimesNewRomanPSMT" w:eastAsia="TimesNewRomanPSMT" w:hAnsi="TimesNewRomanPSMT" w:cs="TimesNewRomanPSMT"/>
          <w:sz w:val="20"/>
          <w:szCs w:val="20"/>
        </w:rPr>
        <w:t>information.</w:t>
      </w:r>
    </w:p>
    <w:p w:rsidR="00C05B0A" w:rsidRDefault="00702833">
      <w:pPr>
        <w:pStyle w:val="Standard"/>
        <w:numPr>
          <w:ilvl w:val="0"/>
          <w:numId w:val="1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Monitor inventory shortages; review RMA information; support Technical Support as needed.</w:t>
      </w:r>
    </w:p>
    <w:p w:rsidR="00C05B0A" w:rsidRDefault="00702833">
      <w:pPr>
        <w:pStyle w:val="Standard"/>
        <w:numPr>
          <w:ilvl w:val="0"/>
          <w:numId w:val="1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Handle transactions associated to repair process; creating RMA’s, opening and closing transactions.</w:t>
      </w:r>
    </w:p>
    <w:p w:rsidR="00C05B0A" w:rsidRDefault="00702833">
      <w:pPr>
        <w:pStyle w:val="Standard"/>
        <w:numPr>
          <w:ilvl w:val="0"/>
          <w:numId w:val="1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Track and keep statuses of in-house, third party, and</w:t>
      </w:r>
      <w:r>
        <w:rPr>
          <w:rFonts w:ascii="TimesNewRomanPSMT" w:eastAsia="TimesNewRomanPSMT" w:hAnsi="TimesNewRomanPSMT" w:cs="TimesNewRomanPSMT"/>
          <w:sz w:val="20"/>
          <w:szCs w:val="20"/>
        </w:rPr>
        <w:t xml:space="preserve"> international repair and service requests.</w:t>
      </w:r>
    </w:p>
    <w:p w:rsidR="00C05B0A" w:rsidRDefault="00702833">
      <w:pPr>
        <w:pStyle w:val="Standard"/>
        <w:numPr>
          <w:ilvl w:val="0"/>
          <w:numId w:val="1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Perform inventory adjustments in Great Plains through cycle counting and service call requests.</w:t>
      </w:r>
    </w:p>
    <w:p w:rsidR="00C05B0A" w:rsidRDefault="00C05B0A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sz w:val="20"/>
          <w:szCs w:val="20"/>
        </w:rPr>
      </w:pP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Siemens Healthcare Diagnostics</w:t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  <w:t xml:space="preserve">                             Flanders, NJ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Material Support 3/Procurement</w:t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  <w:t xml:space="preserve">           12/2009- 1/2012</w:t>
      </w:r>
    </w:p>
    <w:p w:rsidR="00C05B0A" w:rsidRDefault="00702833">
      <w:pPr>
        <w:pStyle w:val="Standard"/>
        <w:numPr>
          <w:ilvl w:val="0"/>
          <w:numId w:val="6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Physical inventory counts and maintaining and posting records using SAP cycle count module.</w:t>
      </w:r>
    </w:p>
    <w:p w:rsidR="00C05B0A" w:rsidRDefault="00702833">
      <w:pPr>
        <w:pStyle w:val="Standard"/>
        <w:numPr>
          <w:ilvl w:val="0"/>
          <w:numId w:val="2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Compute physical count by tallying materials in process and material on shelf, record keeping.</w:t>
      </w:r>
    </w:p>
    <w:p w:rsidR="00C05B0A" w:rsidRDefault="00702833">
      <w:pPr>
        <w:pStyle w:val="Standard"/>
        <w:numPr>
          <w:ilvl w:val="0"/>
          <w:numId w:val="2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Reviewing manufacturing work orders, rou</w:t>
      </w:r>
      <w:r>
        <w:rPr>
          <w:rFonts w:ascii="TimesNewRomanPSMT" w:eastAsia="TimesNewRomanPSMT" w:hAnsi="TimesNewRomanPSMT" w:cs="TimesNewRomanPSMT"/>
          <w:sz w:val="20"/>
          <w:szCs w:val="20"/>
        </w:rPr>
        <w:t>tings, and bill of materials.</w:t>
      </w:r>
    </w:p>
    <w:p w:rsidR="00C05B0A" w:rsidRDefault="00702833">
      <w:pPr>
        <w:pStyle w:val="Standard"/>
        <w:numPr>
          <w:ilvl w:val="0"/>
          <w:numId w:val="2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Reconcile and resolve discrepancies of actual inventories to JDE records of current stock.</w:t>
      </w:r>
    </w:p>
    <w:p w:rsidR="00C05B0A" w:rsidRDefault="00702833">
      <w:pPr>
        <w:pStyle w:val="Standard"/>
        <w:numPr>
          <w:ilvl w:val="0"/>
          <w:numId w:val="2"/>
        </w:numPr>
        <w:tabs>
          <w:tab w:val="left" w:pos="-2320"/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Compile information to account for any discrepancy on receipts or disbursement of materials.</w:t>
      </w:r>
    </w:p>
    <w:p w:rsidR="00C05B0A" w:rsidRDefault="00702833">
      <w:pPr>
        <w:pStyle w:val="Standard"/>
        <w:numPr>
          <w:ilvl w:val="0"/>
          <w:numId w:val="2"/>
        </w:numPr>
        <w:tabs>
          <w:tab w:val="left" w:pos="-1760"/>
          <w:tab w:val="left" w:pos="-1200"/>
          <w:tab w:val="left" w:pos="-640"/>
          <w:tab w:val="left" w:pos="-80"/>
          <w:tab w:val="left" w:pos="480"/>
          <w:tab w:val="left" w:pos="1040"/>
          <w:tab w:val="left" w:pos="1600"/>
          <w:tab w:val="left" w:pos="2160"/>
          <w:tab w:val="left" w:pos="2720"/>
          <w:tab w:val="left" w:pos="3280"/>
          <w:tab w:val="left" w:pos="384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Meet with Manufacturing Manager and PC </w:t>
      </w:r>
      <w:r>
        <w:rPr>
          <w:rFonts w:ascii="TimesNewRomanPSMT" w:eastAsia="TimesNewRomanPSMT" w:hAnsi="TimesNewRomanPSMT" w:cs="TimesNewRomanPSMT"/>
          <w:sz w:val="20"/>
          <w:szCs w:val="20"/>
        </w:rPr>
        <w:t>Supervisor on a monthly basis to discuss cycle count variances.</w:t>
      </w:r>
    </w:p>
    <w:p w:rsidR="00C05B0A" w:rsidRDefault="00C05B0A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0"/>
          <w:szCs w:val="20"/>
        </w:rPr>
      </w:pP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Marubeni Citizen-</w:t>
      </w:r>
      <w:proofErr w:type="spellStart"/>
      <w:r>
        <w:rPr>
          <w:rFonts w:ascii="TimesNewRomanPSMT" w:eastAsia="TimesNewRomanPSMT" w:hAnsi="TimesNewRomanPSMT" w:cs="TimesNewRomanPSMT"/>
          <w:sz w:val="20"/>
          <w:szCs w:val="20"/>
        </w:rPr>
        <w:t>Cincom</w:t>
      </w:r>
      <w:proofErr w:type="spellEnd"/>
      <w:r>
        <w:rPr>
          <w:rFonts w:ascii="TimesNewRomanPSMT" w:eastAsia="TimesNewRomanPSMT" w:hAnsi="TimesNewRomanPSMT" w:cs="TimesNewRomanPSMT"/>
          <w:sz w:val="20"/>
          <w:szCs w:val="20"/>
        </w:rPr>
        <w:t>, Incorporate                                             </w:t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</w:r>
      <w:r>
        <w:rPr>
          <w:rFonts w:ascii="TimesNewRomanPSMT" w:eastAsia="TimesNewRomanPSMT" w:hAnsi="TimesNewRomanPSMT" w:cs="TimesNewRomanPSMT"/>
          <w:sz w:val="20"/>
          <w:szCs w:val="20"/>
        </w:rPr>
        <w:tab/>
        <w:t xml:space="preserve">               Allendale, NJ</w:t>
      </w: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Professional Logistics Clerk                                                  </w:t>
      </w:r>
      <w:r>
        <w:rPr>
          <w:rFonts w:ascii="TimesNewRomanPSMT" w:eastAsia="TimesNewRomanPSMT" w:hAnsi="TimesNewRomanPSMT" w:cs="TimesNewRomanPSMT"/>
          <w:sz w:val="20"/>
          <w:szCs w:val="20"/>
        </w:rPr>
        <w:t>                                                    5/2004- 4/2009</w:t>
      </w:r>
    </w:p>
    <w:p w:rsidR="00C05B0A" w:rsidRDefault="00702833">
      <w:pPr>
        <w:pStyle w:val="Standard"/>
        <w:numPr>
          <w:ilvl w:val="0"/>
          <w:numId w:val="7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Expedited international and domestic shipments international and domestic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Compared actual sales with forecasts and adjusted inventory levels accordingly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Created Purchase Queries and Orders </w:t>
      </w:r>
      <w:r>
        <w:rPr>
          <w:rFonts w:ascii="TimesNewRomanPSMT" w:eastAsia="TimesNewRomanPSMT" w:hAnsi="TimesNewRomanPSMT" w:cs="TimesNewRomanPSMT"/>
          <w:sz w:val="20"/>
          <w:szCs w:val="20"/>
        </w:rPr>
        <w:t>for Stock replenishment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Monitored and/or provided shipping documents to brokers for Customs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Executed purchase orders to outside vendors to replenish inventory at our distribution centers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Daily use of the company databases, </w:t>
      </w:r>
      <w:proofErr w:type="spellStart"/>
      <w:r>
        <w:rPr>
          <w:rFonts w:ascii="TimesNewRomanPSMT" w:eastAsia="TimesNewRomanPSMT" w:hAnsi="TimesNewRomanPSMT" w:cs="TimesNewRomanPSMT"/>
          <w:sz w:val="20"/>
          <w:szCs w:val="20"/>
        </w:rPr>
        <w:t>Syspro</w:t>
      </w:r>
      <w:proofErr w:type="spellEnd"/>
      <w:r>
        <w:rPr>
          <w:rFonts w:ascii="TimesNewRomanPSMT" w:eastAsia="TimesNewRomanPSMT" w:hAnsi="TimesNewRomanPSMT" w:cs="TimesNewRomanPSMT"/>
          <w:sz w:val="20"/>
          <w:szCs w:val="20"/>
        </w:rPr>
        <w:t xml:space="preserve"> and CRM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Processed sales or</w:t>
      </w:r>
      <w:r>
        <w:rPr>
          <w:rFonts w:ascii="TimesNewRomanPSMT" w:eastAsia="TimesNewRomanPSMT" w:hAnsi="TimesNewRomanPSMT" w:cs="TimesNewRomanPSMT"/>
          <w:sz w:val="20"/>
          <w:szCs w:val="20"/>
        </w:rPr>
        <w:t>ders and handled customer credits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Issued RMA's (Return Merchandise Authorization) through the company program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Responsible for training new shipping/receiving team members in policies, procedures and best practices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>Member of Returns Merchandise team</w:t>
      </w:r>
    </w:p>
    <w:p w:rsidR="00C05B0A" w:rsidRDefault="00702833">
      <w:pPr>
        <w:pStyle w:val="Standard"/>
        <w:numPr>
          <w:ilvl w:val="0"/>
          <w:numId w:val="3"/>
        </w:num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Member </w:t>
      </w:r>
      <w:r>
        <w:rPr>
          <w:rFonts w:ascii="TimesNewRomanPSMT" w:eastAsia="TimesNewRomanPSMT" w:hAnsi="TimesNewRomanPSMT" w:cs="TimesNewRomanPSMT"/>
          <w:sz w:val="20"/>
          <w:szCs w:val="20"/>
        </w:rPr>
        <w:t>of Warehouse Control team</w:t>
      </w:r>
    </w:p>
    <w:p w:rsidR="00C05B0A" w:rsidRDefault="00C05B0A">
      <w:pPr>
        <w:pStyle w:val="Standard"/>
        <w:rPr>
          <w:sz w:val="20"/>
          <w:szCs w:val="20"/>
        </w:rPr>
      </w:pPr>
    </w:p>
    <w:p w:rsidR="00C05B0A" w:rsidRDefault="00C05B0A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0"/>
          <w:szCs w:val="20"/>
        </w:rPr>
      </w:pPr>
    </w:p>
    <w:p w:rsidR="00C05B0A" w:rsidRDefault="0070283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NewRomanPSMT" w:eastAsia="TimesNewRomanPSMT" w:hAnsi="TimesNewRomanPSMT" w:cs="TimesNewRomanPSMT"/>
          <w:sz w:val="20"/>
          <w:szCs w:val="20"/>
        </w:rPr>
        <w:t>EDUCATION: Ramapo College of New Jersey, Mahwah, NJ</w:t>
      </w:r>
    </w:p>
    <w:p w:rsidR="00C05B0A" w:rsidRDefault="00702833">
      <w:pPr>
        <w:pStyle w:val="Standard"/>
      </w:pPr>
      <w:r>
        <w:rPr>
          <w:rFonts w:ascii="TimesNewRomanPSMT" w:eastAsia="TimesNewRomanPSMT" w:hAnsi="TimesNewRomanPSMT" w:cs="TimesNewRomanPSMT"/>
          <w:sz w:val="20"/>
          <w:szCs w:val="20"/>
        </w:rPr>
        <w:t>                         Bergen Community College; Associates of Science, 2003</w:t>
      </w:r>
    </w:p>
    <w:p w:rsidR="00C05B0A" w:rsidRDefault="00C05B0A">
      <w:pPr>
        <w:pStyle w:val="Standard"/>
        <w:rPr>
          <w:sz w:val="20"/>
          <w:szCs w:val="20"/>
        </w:rPr>
      </w:pPr>
    </w:p>
    <w:sectPr w:rsidR="00C05B0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2833">
      <w:r>
        <w:separator/>
      </w:r>
    </w:p>
  </w:endnote>
  <w:endnote w:type="continuationSeparator" w:id="0">
    <w:p w:rsidR="00000000" w:rsidRDefault="0070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2833">
      <w:r>
        <w:rPr>
          <w:color w:val="000000"/>
        </w:rPr>
        <w:separator/>
      </w:r>
    </w:p>
  </w:footnote>
  <w:footnote w:type="continuationSeparator" w:id="0">
    <w:p w:rsidR="00000000" w:rsidRDefault="0070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470"/>
    <w:multiLevelType w:val="multilevel"/>
    <w:tmpl w:val="3C8EA73A"/>
    <w:styleLink w:val="LS3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numFmt w:val="bullet"/>
      <w:lvlText w:val="■"/>
      <w:lvlJc w:val="right"/>
      <w:pPr>
        <w:ind w:left="2160" w:hanging="21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numFmt w:val="bullet"/>
      <w:lvlText w:val="■"/>
      <w:lvlJc w:val="right"/>
      <w:pPr>
        <w:ind w:left="4320" w:hanging="432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numFmt w:val="bullet"/>
      <w:lvlText w:val="■"/>
      <w:lvlJc w:val="right"/>
      <w:pPr>
        <w:ind w:left="6480" w:hanging="64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">
    <w:nsid w:val="4D201C41"/>
    <w:multiLevelType w:val="multilevel"/>
    <w:tmpl w:val="5600B958"/>
    <w:styleLink w:val="LS2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numFmt w:val="bullet"/>
      <w:lvlText w:val="■"/>
      <w:lvlJc w:val="right"/>
      <w:pPr>
        <w:ind w:left="2160" w:hanging="21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numFmt w:val="bullet"/>
      <w:lvlText w:val="■"/>
      <w:lvlJc w:val="right"/>
      <w:pPr>
        <w:ind w:left="4320" w:hanging="432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numFmt w:val="bullet"/>
      <w:lvlText w:val="■"/>
      <w:lvlJc w:val="right"/>
      <w:pPr>
        <w:ind w:left="6480" w:hanging="64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2">
    <w:nsid w:val="70DC7BCB"/>
    <w:multiLevelType w:val="multilevel"/>
    <w:tmpl w:val="E61C5868"/>
    <w:styleLink w:val="LS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numFmt w:val="bullet"/>
      <w:lvlText w:val="■"/>
      <w:lvlJc w:val="right"/>
      <w:pPr>
        <w:ind w:left="2160" w:hanging="21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numFmt w:val="bullet"/>
      <w:lvlText w:val="■"/>
      <w:lvlJc w:val="right"/>
      <w:pPr>
        <w:ind w:left="4320" w:hanging="432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numFmt w:val="bullet"/>
      <w:lvlText w:val="■"/>
      <w:lvlJc w:val="right"/>
      <w:pPr>
        <w:ind w:left="6480" w:hanging="64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3">
    <w:nsid w:val="779C767C"/>
    <w:multiLevelType w:val="multilevel"/>
    <w:tmpl w:val="AD10BC76"/>
    <w:styleLink w:val="LS1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numFmt w:val="bullet"/>
      <w:lvlText w:val="■"/>
      <w:lvlJc w:val="right"/>
      <w:pPr>
        <w:ind w:left="2160" w:hanging="21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numFmt w:val="bullet"/>
      <w:lvlText w:val="■"/>
      <w:lvlJc w:val="right"/>
      <w:pPr>
        <w:ind w:left="4320" w:hanging="432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numFmt w:val="bullet"/>
      <w:lvlText w:val="■"/>
      <w:lvlJc w:val="right"/>
      <w:pPr>
        <w:ind w:left="6480" w:hanging="64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/>
  </w:num>
  <w:num w:numId="6">
    <w:abstractNumId w:val="1"/>
    <w:lvlOverride w:ilvl="0"/>
  </w:num>
  <w:num w:numId="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5B0A"/>
    <w:rsid w:val="00702833"/>
    <w:rsid w:val="00C05B0A"/>
    <w:rsid w:val="00C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pPr>
      <w:spacing w:before="240" w:after="40"/>
      <w:outlineLvl w:val="3"/>
    </w:pPr>
    <w:rPr>
      <w:b/>
      <w:bCs/>
    </w:rPr>
  </w:style>
  <w:style w:type="paragraph" w:styleId="Heading5">
    <w:name w:val="heading 5"/>
    <w:basedOn w:val="Standard"/>
    <w:pPr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Standard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color w:val="000000"/>
      <w:sz w:val="24"/>
      <w:szCs w:val="24"/>
    </w:r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1Level0">
    <w:name w:val="List1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1">
    <w:name w:val="List1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2">
    <w:name w:val="List1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3">
    <w:name w:val="List1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4">
    <w:name w:val="List1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5">
    <w:name w:val="List1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6">
    <w:name w:val="List1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7">
    <w:name w:val="List1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8">
    <w:name w:val="List1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0">
    <w:name w:val="List2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1">
    <w:name w:val="List2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2">
    <w:name w:val="List2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3">
    <w:name w:val="List2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4">
    <w:name w:val="List2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5">
    <w:name w:val="List2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6">
    <w:name w:val="List2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7">
    <w:name w:val="List2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8">
    <w:name w:val="List2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0">
    <w:name w:val="List3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1">
    <w:name w:val="List3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2">
    <w:name w:val="List3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3">
    <w:name w:val="List3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4">
    <w:name w:val="List3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5">
    <w:name w:val="List3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6">
    <w:name w:val="List3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7">
    <w:name w:val="List3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8">
    <w:name w:val="List3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0">
    <w:name w:val="List4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1">
    <w:name w:val="List4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2">
    <w:name w:val="List4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3">
    <w:name w:val="List4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4">
    <w:name w:val="List4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5">
    <w:name w:val="List4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6">
    <w:name w:val="List4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7">
    <w:name w:val="List4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8">
    <w:name w:val="List4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numbering" w:customStyle="1" w:styleId="LS4">
    <w:name w:val="LS4"/>
    <w:basedOn w:val="NoList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pPr>
      <w:spacing w:before="240" w:after="40"/>
      <w:outlineLvl w:val="3"/>
    </w:pPr>
    <w:rPr>
      <w:b/>
      <w:bCs/>
    </w:rPr>
  </w:style>
  <w:style w:type="paragraph" w:styleId="Heading5">
    <w:name w:val="heading 5"/>
    <w:basedOn w:val="Standard"/>
    <w:pPr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Standard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color w:val="000000"/>
      <w:sz w:val="24"/>
      <w:szCs w:val="24"/>
    </w:r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1Level0">
    <w:name w:val="List1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1">
    <w:name w:val="List1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2">
    <w:name w:val="List1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3">
    <w:name w:val="List1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4">
    <w:name w:val="List1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5">
    <w:name w:val="List1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6">
    <w:name w:val="List1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7">
    <w:name w:val="List1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1Level8">
    <w:name w:val="List1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0">
    <w:name w:val="List2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1">
    <w:name w:val="List2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2">
    <w:name w:val="List2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3">
    <w:name w:val="List2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4">
    <w:name w:val="List2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5">
    <w:name w:val="List2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6">
    <w:name w:val="List2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7">
    <w:name w:val="List2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2Level8">
    <w:name w:val="List2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0">
    <w:name w:val="List3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1">
    <w:name w:val="List3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2">
    <w:name w:val="List3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3">
    <w:name w:val="List3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4">
    <w:name w:val="List3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5">
    <w:name w:val="List3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6">
    <w:name w:val="List3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7">
    <w:name w:val="List3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3Level8">
    <w:name w:val="List3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0">
    <w:name w:val="List4Level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1">
    <w:name w:val="List4Level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2">
    <w:name w:val="List4Level2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3">
    <w:name w:val="List4Level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4">
    <w:name w:val="List4Level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5">
    <w:name w:val="List4Level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6">
    <w:name w:val="List4Level6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7">
    <w:name w:val="List4Level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List4Level8">
    <w:name w:val="List4Level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numbering" w:customStyle="1" w:styleId="LS4">
    <w:name w:val="LS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Hoboken Public Library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PC #14</dc:creator>
  <cp:lastModifiedBy>Public PC #4</cp:lastModifiedBy>
  <cp:revision>2</cp:revision>
  <cp:lastPrinted>2013-05-01T13:48:00Z</cp:lastPrinted>
  <dcterms:created xsi:type="dcterms:W3CDTF">2013-05-07T14:56:00Z</dcterms:created>
  <dcterms:modified xsi:type="dcterms:W3CDTF">2013-05-07T14:56:00Z</dcterms:modified>
</cp:coreProperties>
</file>