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nil"/>
        <w:tblInd w:w="0" w:type="nil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nil"/>
              <w:tblInd w:w="0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vAlign w:val="center"/>
                </w:tcPr>
                <w:p w:rsidR="00000000" w:rsidRDefault="00227EA2" w:rsidP="00227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L.CANADY</w:t>
                  </w:r>
                  <w:r w:rsidR="00891D2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t>(201) 434-4259 (Home)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br/>
                    <w:t>5 Morton Place, Apt.1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t>Jersey City, NJ 07305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br/>
                    <w:t>sucessrob@aol.com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gridSpan w:val="0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8860B2" w:rsidP="00EA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627370" cy="209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70" cy="2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nil"/>
              <w:tblInd w:w="0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891D25" w:rsidP="00EA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Objective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000" w:rsidRDefault="00891D25" w:rsidP="00EA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obtain a position </w:t>
            </w:r>
            <w:r w:rsidR="00C64EFA">
              <w:rPr>
                <w:rFonts w:ascii="Arial" w:hAnsi="Arial" w:cs="Arial"/>
                <w:sz w:val="20"/>
                <w:szCs w:val="20"/>
              </w:rPr>
              <w:t>as a Warehouse Lead / Supervisor</w:t>
            </w:r>
          </w:p>
          <w:p w:rsidR="003237A9" w:rsidRDefault="00891D25" w:rsidP="0032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Summary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ABE" w:rsidRPr="00EA4ABE">
              <w:rPr>
                <w:rFonts w:ascii="Arial" w:hAnsi="Arial" w:cs="Arial"/>
                <w:b/>
                <w:sz w:val="20"/>
                <w:szCs w:val="20"/>
              </w:rPr>
              <w:t>of Qualifications:</w:t>
            </w:r>
          </w:p>
          <w:p w:rsidR="003237A9" w:rsidRPr="003237A9" w:rsidRDefault="003237A9" w:rsidP="003237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 years of Warehouse experience.</w:t>
            </w:r>
          </w:p>
          <w:p w:rsidR="003237A9" w:rsidRPr="003237A9" w:rsidRDefault="003237A9" w:rsidP="003237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Currently supervising three different warehouse operations including mass grain operation.</w:t>
            </w:r>
          </w:p>
          <w:p w:rsidR="003237A9" w:rsidRPr="003237A9" w:rsidRDefault="003237A9" w:rsidP="003237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 record keeping.</w:t>
            </w:r>
          </w:p>
          <w:p w:rsidR="003237A9" w:rsidRPr="003237A9" w:rsidRDefault="003237A9" w:rsidP="003237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Forklift certified.</w:t>
            </w:r>
          </w:p>
          <w:p w:rsidR="00DA1C85" w:rsidRDefault="00DA1C85" w:rsidP="00D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00000" w:rsidRPr="00EA4ABE" w:rsidRDefault="00891D25" w:rsidP="00D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A4ABE">
              <w:rPr>
                <w:rFonts w:ascii="Arial" w:hAnsi="Arial" w:cs="Arial"/>
                <w:b/>
                <w:bCs/>
                <w:sz w:val="21"/>
                <w:szCs w:val="21"/>
              </w:rPr>
              <w:t>Experience</w:t>
            </w:r>
            <w:r w:rsidRPr="00EA4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nil"/>
              <w:tblInd w:w="0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70"/>
              <w:gridCol w:w="274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Judge Organization, Newark, NJ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Aug. 2013 to Present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Rail Operations Controller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EA4ABE" w:rsidRDefault="00891D25" w:rsidP="00EA4ABE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Train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crews to switch tracks, couple and uncouple cars and route traffic. </w:t>
                  </w:r>
                </w:p>
                <w:p w:rsidR="00EA4ABE" w:rsidRDefault="00891D25" w:rsidP="00EA4ABE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Record</w:t>
                  </w:r>
                  <w:r w:rsidR="00C64E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contents and destinations of railcars. Directed engineers. </w:t>
                  </w:r>
                </w:p>
                <w:p w:rsidR="00EA4ABE" w:rsidRDefault="00C64EFA" w:rsidP="00EA4ABE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Review 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t xml:space="preserve">schedules, shipping orders, waybills and shipping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records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000000" w:rsidRDefault="00891D25" w:rsidP="00EA4ABE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Read and understood bulletins, work orders, and switch lists. Knowledge sets include: Expert system software, Weigh-in-motion scales.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World Wide Flight Services, Newark,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NJ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Oct. 2012 to June 2013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Shipping and Receiving Materials Handler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EA4ABE" w:rsidRDefault="00891D25" w:rsidP="00EA4AB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Determined work assignments and </w:t>
                  </w:r>
                  <w:r w:rsidR="00C64EFA">
                    <w:rPr>
                      <w:rFonts w:ascii="Arial" w:hAnsi="Arial" w:cs="Arial"/>
                      <w:sz w:val="20"/>
                      <w:szCs w:val="20"/>
                    </w:rPr>
                    <w:t xml:space="preserve">equipment needs. </w:t>
                  </w:r>
                </w:p>
                <w:p w:rsidR="00EA4ABE" w:rsidRDefault="00891D25" w:rsidP="00EA4AB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Followed and maintained knowledge of aircraft cargo tie-down and handling procedures. Determined weight and balance factors. </w:t>
                  </w:r>
                </w:p>
                <w:p w:rsidR="00EA4ABE" w:rsidRDefault="00891D25" w:rsidP="00EA4AB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Provided technical leadership to crew regarding all aspects of cargo loading and weight and balance calculations. </w:t>
                  </w:r>
                </w:p>
                <w:p w:rsidR="00000000" w:rsidRDefault="00891D25" w:rsidP="00EA4AB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Trained and mentored ramp agents. Knowledge sets include: Forklift Operator, Pallet Jack,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Warehouse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Rent The Runway, Secaucus, NJ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Oct. 2011 to Mar. 2012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Shipping and Receiving Clerk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DA1C85" w:rsidRDefault="00891D25" w:rsidP="00EA4ABE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Operated equipment such as fax machines, copiers, </w:t>
                  </w:r>
                  <w:r w:rsidR="00EA4ABE">
                    <w:rPr>
                      <w:rFonts w:ascii="Arial" w:hAnsi="Arial" w:cs="Arial"/>
                      <w:sz w:val="20"/>
                      <w:szCs w:val="20"/>
                    </w:rPr>
                    <w:t xml:space="preserve">and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printers. </w:t>
                  </w:r>
                </w:p>
                <w:p w:rsidR="00DA1C85" w:rsidRDefault="00891D25" w:rsidP="00EA4ABE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Used office suite software such as Word, Excel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database and business management software such as RMS. </w:t>
                  </w:r>
                </w:p>
                <w:p w:rsidR="00DA1C85" w:rsidRDefault="00891D25" w:rsidP="00DA1C85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pdated customers on order status</w:t>
                  </w:r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 xml:space="preserve"> and 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nsured timely processing and delivery of orders. Performed data entry.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000000" w:rsidRDefault="00891D25" w:rsidP="00DA1C85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Reviewed data to resolve custom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er complaints.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Knowledge sets include: Copier, Copiers, Data, Entry, Fax Machines, Photocopier, Processing, Receiving,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Shipping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DA1C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Prudential Center / Centerplate, Newark</w:t>
                  </w:r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Aug. 2010 to Apr. 2011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Maintenance Assistant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DA1C85" w:rsidRDefault="00891D25" w:rsidP="00DA1C85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Assist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with the set-up and repair of concession stands and equipment at the Newark Prudential Center.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A1C85" w:rsidRDefault="00891D25" w:rsidP="00DA1C85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Helped workers in parts replacement, machine repair, electrical and electronics equipment and plumbing. Cleaned work areas. </w:t>
                  </w:r>
                </w:p>
                <w:p w:rsidR="00DA1C85" w:rsidRDefault="00891D25" w:rsidP="00DA1C85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Connected and disconnected wiring, piping, tubing and parts. </w:t>
                  </w:r>
                </w:p>
                <w:p w:rsidR="00000000" w:rsidRDefault="00891D25" w:rsidP="00DA1C85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Used hand tools</w:t>
                  </w:r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power tools </w:t>
                  </w:r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>to take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apart broken equipment for repair</w:t>
                  </w:r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 xml:space="preserve"> and put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equipment back together after repair.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DA1C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Target, Jersey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City,NJ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July 2008 to Apr. 2009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Warehouse Assistant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A015E9" w:rsidRDefault="00891D25" w:rsidP="00A015E9">
                  <w:pPr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Safely operated pallet jack and forklift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 xml:space="preserve"> to unload freight from trucks.</w:t>
                  </w:r>
                </w:p>
                <w:p w:rsidR="00DA1C85" w:rsidRPr="00A015E9" w:rsidRDefault="00891D25" w:rsidP="00A015E9">
                  <w:pPr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5E9">
                    <w:rPr>
                      <w:rFonts w:ascii="Arial" w:hAnsi="Arial" w:cs="Arial"/>
                      <w:sz w:val="20"/>
                      <w:szCs w:val="20"/>
                    </w:rPr>
                    <w:t xml:space="preserve">Read and interpreted work orders. Determined work assignments and equipment needs. </w:t>
                  </w:r>
                </w:p>
                <w:p w:rsidR="00DA1C85" w:rsidRDefault="00891D25" w:rsidP="00DA1C85">
                  <w:pPr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Reported shortages and damaged materials. Inventoried materials. </w:t>
                  </w:r>
                </w:p>
                <w:p w:rsidR="00000000" w:rsidRDefault="00891D25" w:rsidP="00DA1C85">
                  <w:pPr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Ensured a clean and safe working environment. My accomplishments included: I received recognition for constant hard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work .</w:t>
                  </w:r>
                  <w:proofErr w:type="gramEnd"/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T.U.C.S,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Geothals</w:t>
                  </w:r>
                  <w:proofErr w:type="spellEnd"/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 xml:space="preserve"> Bridge Port Authority)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Staten Island, NY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une 2007 to Jan. 2008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Custodian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DA1C85" w:rsidRDefault="00891D25" w:rsidP="00A015E9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Maintained premises of the </w:t>
                  </w:r>
                  <w:proofErr w:type="spellStart"/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>Geothals</w:t>
                  </w:r>
                  <w:proofErr w:type="spellEnd"/>
                  <w:r w:rsidR="00DA1C85">
                    <w:rPr>
                      <w:rFonts w:ascii="Arial" w:hAnsi="Arial" w:cs="Arial"/>
                      <w:sz w:val="20"/>
                      <w:szCs w:val="20"/>
                    </w:rPr>
                    <w:t xml:space="preserve"> Bridge Port Authority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A015E9" w:rsidRDefault="00891D25" w:rsidP="00A015E9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Did minor maintenance repairs. </w:t>
                  </w:r>
                </w:p>
                <w:p w:rsidR="00A015E9" w:rsidRDefault="00891D25" w:rsidP="00A015E9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Monitored building security and safety.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000000" w:rsidRDefault="00891D25" w:rsidP="00A015E9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Followed procedures for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using chemical cleaners and power equipment.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New Hope Baptist Church, Jersey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City,NJ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NJ </w:t>
                  </w:r>
                </w:p>
              </w:tc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June 2006 to Sept. 2006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Art Instructor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</w:tcPr>
                <w:p w:rsidR="00A015E9" w:rsidRDefault="00891D25" w:rsidP="00A015E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Taught children, ages 6-12, basic techn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iques for painting and drawing.</w:t>
                  </w:r>
                </w:p>
                <w:p w:rsidR="00A015E9" w:rsidRDefault="00891D25" w:rsidP="00A015E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5E9">
                    <w:rPr>
                      <w:rFonts w:ascii="Arial" w:hAnsi="Arial" w:cs="Arial"/>
                      <w:sz w:val="20"/>
                      <w:szCs w:val="20"/>
                    </w:rPr>
                    <w:t xml:space="preserve">Demonstrated use of materials and tools, 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method and procedure to pupils.</w:t>
                  </w:r>
                </w:p>
                <w:p w:rsidR="00A015E9" w:rsidRDefault="00891D25" w:rsidP="00A015E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5E9">
                    <w:rPr>
                      <w:rFonts w:ascii="Arial" w:hAnsi="Arial" w:cs="Arial"/>
                      <w:sz w:val="20"/>
                      <w:szCs w:val="20"/>
                    </w:rPr>
                    <w:t>Conduct classes, workshops, and demonstrations, and provide individual instruction to teach topics and skills such as cooking, dancing, writing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, physical fitness, and photography</w:t>
                  </w:r>
                  <w:r w:rsidRPr="00A015E9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000000" w:rsidRPr="00A015E9" w:rsidRDefault="00891D25" w:rsidP="00A015E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5E9">
                    <w:rPr>
                      <w:rFonts w:ascii="Arial" w:hAnsi="Arial" w:cs="Arial"/>
                      <w:sz w:val="20"/>
                      <w:szCs w:val="20"/>
                    </w:rPr>
                    <w:t>Observe students to determine qualifications, limitations, abilities, interests, and other individual characteristics. Instru</w:t>
                  </w:r>
                  <w:r w:rsidRPr="00A015E9">
                    <w:rPr>
                      <w:rFonts w:ascii="Arial" w:hAnsi="Arial" w:cs="Arial"/>
                      <w:sz w:val="20"/>
                      <w:szCs w:val="20"/>
                    </w:rPr>
                    <w:t>ct students individually and in groups, using various teaching methods such as lectures, discussions, and demonstrations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gridSpan w:val="2"/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891D25" w:rsidP="00EA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15E9" w:rsidRDefault="00891D25" w:rsidP="00A015E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Analytical Skills and Demonstrated Decision-Making Ability.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15E9" w:rsidRDefault="00A015E9" w:rsidP="00A015E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l</w:t>
            </w:r>
            <w:r w:rsidR="00891D25">
              <w:rPr>
                <w:rFonts w:ascii="Arial" w:hAnsi="Arial" w:cs="Arial"/>
                <w:sz w:val="20"/>
                <w:szCs w:val="20"/>
              </w:rPr>
              <w:t>iterate: MS Word; Internet &amp; E-Mail Communication.</w:t>
            </w:r>
            <w:r w:rsidR="00891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15E9" w:rsidRDefault="00A015E9" w:rsidP="00A015E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Sense of Urgency a</w:t>
            </w:r>
            <w:r w:rsidR="00891D25">
              <w:rPr>
                <w:rFonts w:ascii="Arial" w:hAnsi="Arial" w:cs="Arial"/>
                <w:sz w:val="20"/>
                <w:szCs w:val="20"/>
              </w:rPr>
              <w:t xml:space="preserve">nd the Ability to Respond Quickly to Changing Needs and Priorities. </w:t>
            </w:r>
          </w:p>
          <w:p w:rsidR="00000000" w:rsidRDefault="00891D25" w:rsidP="00A015E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Trained in HVAC, Electrical, Carpentry and Plumbing, Analytical Skills, Carpentry, Computer Skills, Decision Making, Email, English, HVAC, Microsoft Word, Plu</w:t>
            </w:r>
            <w:r>
              <w:rPr>
                <w:rFonts w:ascii="Arial" w:hAnsi="Arial" w:cs="Arial"/>
                <w:sz w:val="20"/>
                <w:szCs w:val="20"/>
              </w:rPr>
              <w:t xml:space="preserve">mbing, </w:t>
            </w:r>
            <w:r>
              <w:rPr>
                <w:rFonts w:ascii="Arial" w:hAnsi="Arial" w:cs="Arial"/>
                <w:sz w:val="20"/>
                <w:szCs w:val="20"/>
              </w:rPr>
              <w:t xml:space="preserve">Business Management, Data Entry, Database Administration, Delivery, Fax, Microsoft Excel, Photocopier, Printers, Quality, Receiving,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Safety, Shipping, Balance, Leadership, Read, Power Tools, Repair, Electronics, Hand Tools, Lighting, Ma</w:t>
            </w:r>
            <w:r>
              <w:rPr>
                <w:rFonts w:ascii="Arial" w:hAnsi="Arial" w:cs="Arial"/>
                <w:sz w:val="20"/>
                <w:szCs w:val="20"/>
              </w:rPr>
              <w:t>chinery, Wiring, Finance, Instruction, Meeting Facilitation, Photography, Policy Analysis, Progress, Teaching, Workshops,</w:t>
            </w:r>
            <w:r w:rsidR="00A015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expert system, radio, switches, </w:t>
            </w:r>
            <w:r w:rsidR="00A015E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telephone skills</w:t>
            </w:r>
          </w:p>
          <w:p w:rsidR="00000000" w:rsidRDefault="00891D25" w:rsidP="00A0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91D25" w:rsidP="00A0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nil"/>
              <w:tblInd w:w="0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1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2007 Henry Snyder High School, NJ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High School Dipl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oma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Fine Arts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A015E9" w:rsidP="00A015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="00891D25">
                    <w:rPr>
                      <w:rFonts w:ascii="Arial" w:hAnsi="Arial" w:cs="Arial"/>
                      <w:sz w:val="20"/>
                      <w:szCs w:val="20"/>
                    </w:rPr>
                    <w:t xml:space="preserve">2009 Hudson Technical, NJ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Per-Apprenticeship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Building Trades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A015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Course Work Completed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Learn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intro carpentry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electrica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plumbing and HVAC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A015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</w:t>
                  </w:r>
                  <w:r w:rsidR="00A015E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NJ One Stop Career Center, NJ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NJ Forklift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NJ Forklift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vAlign w:val="center"/>
                </w:tcPr>
                <w:p w:rsidR="00000000" w:rsidRDefault="00891D25" w:rsidP="00EA4A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891D25" w:rsidP="00EA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891D25" w:rsidRDefault="00891D25"/>
    <w:sectPr w:rsidR="00891D25">
      <w:headerReference w:type="default" r:id="rId9"/>
      <w:footerReference w:type="default" r:id="rId10"/>
      <w:pgSz w:w="11907" w:h="16839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25" w:rsidRDefault="00891D25">
      <w:pPr>
        <w:spacing w:after="0" w:line="240" w:lineRule="auto"/>
      </w:pPr>
      <w:r>
        <w:separator/>
      </w:r>
    </w:p>
  </w:endnote>
  <w:endnote w:type="continuationSeparator" w:id="0">
    <w:p w:rsidR="00891D25" w:rsidRDefault="0089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D25">
    <w:pPr>
      <w:framePr w:wrap="auto" w:vAnchor="page" w:hAnchor="page" w:x="10468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PAGE</w:instrText>
    </w:r>
    <w:r w:rsidR="00C64EFA">
      <w:rPr>
        <w:rFonts w:ascii="Arial" w:hAnsi="Arial" w:cs="Arial"/>
        <w:sz w:val="24"/>
        <w:szCs w:val="24"/>
      </w:rPr>
      <w:fldChar w:fldCharType="separate"/>
    </w:r>
    <w:r w:rsidR="007A6116">
      <w:rPr>
        <w:rFonts w:ascii="Arial" w:hAnsi="Arial" w:cs="Arial"/>
        <w:noProof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  <w:p w:rsidR="00000000" w:rsidRDefault="00891D25">
    <w:pPr>
      <w:widowControl w:val="0"/>
      <w:autoSpaceDE w:val="0"/>
      <w:autoSpaceDN w:val="0"/>
      <w:adjustRightInd w:val="0"/>
      <w:spacing w:after="0" w:line="20" w:lineRule="exac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25" w:rsidRDefault="00891D25">
      <w:pPr>
        <w:spacing w:after="0" w:line="240" w:lineRule="auto"/>
      </w:pPr>
      <w:r>
        <w:separator/>
      </w:r>
    </w:p>
  </w:footnote>
  <w:footnote w:type="continuationSeparator" w:id="0">
    <w:p w:rsidR="00891D25" w:rsidRDefault="0089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D25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ROBERT CANADY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696"/>
    <w:multiLevelType w:val="hybridMultilevel"/>
    <w:tmpl w:val="581ED002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15575946"/>
    <w:multiLevelType w:val="hybridMultilevel"/>
    <w:tmpl w:val="1762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23DC3"/>
    <w:multiLevelType w:val="hybridMultilevel"/>
    <w:tmpl w:val="2414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422A1"/>
    <w:multiLevelType w:val="hybridMultilevel"/>
    <w:tmpl w:val="671AB062"/>
    <w:lvl w:ilvl="0" w:tplc="040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>
    <w:nsid w:val="211E246E"/>
    <w:multiLevelType w:val="hybridMultilevel"/>
    <w:tmpl w:val="96049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CC4C39"/>
    <w:multiLevelType w:val="hybridMultilevel"/>
    <w:tmpl w:val="EBEC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D0207"/>
    <w:multiLevelType w:val="hybridMultilevel"/>
    <w:tmpl w:val="E070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B451C"/>
    <w:multiLevelType w:val="hybridMultilevel"/>
    <w:tmpl w:val="0970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C65B9"/>
    <w:multiLevelType w:val="hybridMultilevel"/>
    <w:tmpl w:val="7B62B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9C65D6"/>
    <w:multiLevelType w:val="hybridMultilevel"/>
    <w:tmpl w:val="4396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00AE3"/>
    <w:multiLevelType w:val="hybridMultilevel"/>
    <w:tmpl w:val="D01A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9582D"/>
    <w:multiLevelType w:val="hybridMultilevel"/>
    <w:tmpl w:val="1D406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9B74AD"/>
    <w:multiLevelType w:val="hybridMultilevel"/>
    <w:tmpl w:val="D334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17A4E"/>
    <w:multiLevelType w:val="hybridMultilevel"/>
    <w:tmpl w:val="EA56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C194A"/>
    <w:multiLevelType w:val="hybridMultilevel"/>
    <w:tmpl w:val="E1C8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8F57DD"/>
    <w:multiLevelType w:val="hybridMultilevel"/>
    <w:tmpl w:val="17BA9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DC6EA8"/>
    <w:multiLevelType w:val="hybridMultilevel"/>
    <w:tmpl w:val="C9E4B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A7479"/>
    <w:multiLevelType w:val="hybridMultilevel"/>
    <w:tmpl w:val="3214715A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>
    <w:nsid w:val="63667ADF"/>
    <w:multiLevelType w:val="hybridMultilevel"/>
    <w:tmpl w:val="43F20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96762D2"/>
    <w:multiLevelType w:val="hybridMultilevel"/>
    <w:tmpl w:val="CF1A8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714797"/>
    <w:multiLevelType w:val="hybridMultilevel"/>
    <w:tmpl w:val="66D80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710DF7"/>
    <w:multiLevelType w:val="hybridMultilevel"/>
    <w:tmpl w:val="C9B25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1A4065"/>
    <w:multiLevelType w:val="hybridMultilevel"/>
    <w:tmpl w:val="50AAD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C624D5"/>
    <w:multiLevelType w:val="hybridMultilevel"/>
    <w:tmpl w:val="8508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B0703"/>
    <w:multiLevelType w:val="hybridMultilevel"/>
    <w:tmpl w:val="7346D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24"/>
  </w:num>
  <w:num w:numId="11">
    <w:abstractNumId w:val="5"/>
  </w:num>
  <w:num w:numId="12">
    <w:abstractNumId w:val="21"/>
  </w:num>
  <w:num w:numId="13">
    <w:abstractNumId w:val="23"/>
  </w:num>
  <w:num w:numId="14">
    <w:abstractNumId w:val="18"/>
  </w:num>
  <w:num w:numId="15">
    <w:abstractNumId w:val="20"/>
  </w:num>
  <w:num w:numId="16">
    <w:abstractNumId w:val="10"/>
  </w:num>
  <w:num w:numId="17">
    <w:abstractNumId w:val="3"/>
  </w:num>
  <w:num w:numId="18">
    <w:abstractNumId w:val="17"/>
  </w:num>
  <w:num w:numId="19">
    <w:abstractNumId w:val="0"/>
  </w:num>
  <w:num w:numId="20">
    <w:abstractNumId w:val="16"/>
  </w:num>
  <w:num w:numId="21">
    <w:abstractNumId w:val="11"/>
  </w:num>
  <w:num w:numId="22">
    <w:abstractNumId w:val="15"/>
  </w:num>
  <w:num w:numId="23">
    <w:abstractNumId w:val="22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FA"/>
    <w:rsid w:val="00227EA2"/>
    <w:rsid w:val="003237A9"/>
    <w:rsid w:val="003D201E"/>
    <w:rsid w:val="007A6116"/>
    <w:rsid w:val="008860B2"/>
    <w:rsid w:val="00891D25"/>
    <w:rsid w:val="00A015E9"/>
    <w:rsid w:val="00C64EFA"/>
    <w:rsid w:val="00C76AF5"/>
    <w:rsid w:val="00DA1C85"/>
    <w:rsid w:val="00EA4ABE"/>
    <w:rsid w:val="00F4215E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4A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16"/>
  </w:style>
  <w:style w:type="paragraph" w:styleId="Footer">
    <w:name w:val="footer"/>
    <w:basedOn w:val="Normal"/>
    <w:link w:val="FooterChar"/>
    <w:uiPriority w:val="99"/>
    <w:unhideWhenUsed/>
    <w:rsid w:val="007A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4A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16"/>
  </w:style>
  <w:style w:type="paragraph" w:styleId="Footer">
    <w:name w:val="footer"/>
    <w:basedOn w:val="Normal"/>
    <w:link w:val="FooterChar"/>
    <w:uiPriority w:val="99"/>
    <w:unhideWhenUsed/>
    <w:rsid w:val="007A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dc:description>Created by the HTML-to-RTF Pro DLL .Net 4.7.4.25</dc:description>
  <cp:lastModifiedBy>Guest</cp:lastModifiedBy>
  <cp:revision>4</cp:revision>
  <cp:lastPrinted>2013-09-23T19:42:00Z</cp:lastPrinted>
  <dcterms:created xsi:type="dcterms:W3CDTF">2013-09-23T19:46:00Z</dcterms:created>
  <dcterms:modified xsi:type="dcterms:W3CDTF">2013-09-23T19:52:00Z</dcterms:modified>
</cp:coreProperties>
</file>