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C81" w:rsidRDefault="00D5299D">
      <w:pPr>
        <w:spacing w:after="0" w:line="259" w:lineRule="auto"/>
        <w:ind w:left="101" w:firstLine="0"/>
      </w:pPr>
      <w:bookmarkStart w:id="0" w:name="_GoBack"/>
      <w:bookmarkEnd w:id="0"/>
      <w:r>
        <w:rPr>
          <w:rFonts w:ascii="Kalinga" w:eastAsia="Kalinga" w:hAnsi="Kalinga" w:cs="Kalinga"/>
          <w:b/>
          <w:color w:val="262626"/>
          <w:sz w:val="32"/>
        </w:rPr>
        <w:t xml:space="preserve">BENJAMIN F. LEVINE </w:t>
      </w:r>
    </w:p>
    <w:p w:rsidR="002F3C81" w:rsidRDefault="00D5299D">
      <w:pPr>
        <w:spacing w:after="54" w:line="259" w:lineRule="auto"/>
        <w:ind w:left="259" w:firstLine="0"/>
      </w:pPr>
      <w:r>
        <w:rPr>
          <w:color w:val="242424"/>
          <w:sz w:val="20"/>
        </w:rPr>
        <w:t xml:space="preserve">11092 UTICA CT || WESTMINSTER, COLORADO 80031 || 720-592-6565 || </w:t>
      </w:r>
      <w:r>
        <w:rPr>
          <w:rFonts w:ascii="Kalinga" w:eastAsia="Kalinga" w:hAnsi="Kalinga" w:cs="Kalinga"/>
          <w:b/>
          <w:sz w:val="20"/>
        </w:rPr>
        <w:t>BENLEVINE@BENLEVINE.CO</w:t>
      </w:r>
      <w:r>
        <w:rPr>
          <w:sz w:val="20"/>
        </w:rPr>
        <w:t xml:space="preserve"> </w:t>
      </w:r>
    </w:p>
    <w:p w:rsidR="002F3C81" w:rsidRDefault="00D5299D">
      <w:pPr>
        <w:pStyle w:val="Heading1"/>
      </w:pPr>
      <w:r>
        <w:t xml:space="preserve">QUALIFICATIONS PROFILE </w:t>
      </w:r>
    </w:p>
    <w:p w:rsidR="002F3C81" w:rsidRDefault="00D5299D">
      <w:pPr>
        <w:ind w:left="374" w:right="134" w:firstLine="0"/>
      </w:pPr>
      <w:r>
        <w:t>Accomplished professional with an exceptional blend of finance, data analysis, reporting, IT, and planning and execution capabilities. Background demonstrates exceptional experience leading process improvement initiatives to reduce costs, enhance performan</w:t>
      </w:r>
      <w:r>
        <w:t>ce, and impact the bottom line.</w:t>
      </w:r>
      <w:r>
        <w:rPr>
          <w:b/>
          <w:color w:val="BFBFBF"/>
        </w:rPr>
        <w:t xml:space="preserve"> </w:t>
      </w:r>
      <w:r>
        <w:rPr>
          <w:color w:val="A6A6A6"/>
        </w:rPr>
        <w:t>■</w:t>
      </w:r>
      <w:r>
        <w:rPr>
          <w:color w:val="7F7F7F"/>
        </w:rPr>
        <w:t xml:space="preserve"> </w:t>
      </w:r>
      <w:r>
        <w:t xml:space="preserve">Proficient in HFM/Essbase cube (OLAP) design, calculation script development, and some administrative functions. </w:t>
      </w:r>
      <w:r>
        <w:rPr>
          <w:color w:val="A6A6A6"/>
        </w:rPr>
        <w:t>■</w:t>
      </w:r>
      <w:r>
        <w:rPr>
          <w:color w:val="7F7F7F"/>
        </w:rPr>
        <w:t xml:space="preserve"> </w:t>
      </w:r>
      <w:r>
        <w:t xml:space="preserve">Expert in VBA/ADO using Excel and Access. </w:t>
      </w:r>
      <w:r>
        <w:rPr>
          <w:color w:val="A6A6A6"/>
        </w:rPr>
        <w:t>■</w:t>
      </w:r>
      <w:r>
        <w:rPr>
          <w:color w:val="7F7F7F"/>
        </w:rPr>
        <w:t xml:space="preserve"> </w:t>
      </w:r>
      <w:r>
        <w:t>Highly proficient with SSMS (SQL/stored procedures)/SSIS/SSRS (</w:t>
      </w:r>
      <w:r>
        <w:t xml:space="preserve">report building using Visual Studio); Power BI Desktop/Service/Report Server/REST API. </w:t>
      </w:r>
      <w:r>
        <w:rPr>
          <w:color w:val="A6A6A6"/>
        </w:rPr>
        <w:t>■</w:t>
      </w:r>
      <w:r>
        <w:rPr>
          <w:color w:val="7F7F7F"/>
        </w:rPr>
        <w:t xml:space="preserve"> </w:t>
      </w:r>
      <w:r>
        <w:t xml:space="preserve">Proficient with the Geotab .NET SDK and web portal/Google Maps Distance Matrix API. </w:t>
      </w:r>
      <w:r>
        <w:rPr>
          <w:color w:val="A6A6A6"/>
        </w:rPr>
        <w:t>■</w:t>
      </w:r>
      <w:r>
        <w:rPr>
          <w:color w:val="7F7F7F"/>
        </w:rPr>
        <w:t xml:space="preserve"> </w:t>
      </w:r>
      <w:r>
        <w:t xml:space="preserve">Advanced modeling and problem solving using C#/VB.NET/ADO.NET. </w:t>
      </w:r>
      <w:r>
        <w:rPr>
          <w:color w:val="A6A6A6"/>
        </w:rPr>
        <w:t>■</w:t>
      </w:r>
      <w:r>
        <w:t xml:space="preserve"> Excel Smart View</w:t>
      </w:r>
      <w:r>
        <w:t xml:space="preserve">/Solver/OpenSolver/Power Map/Power Pivot/pivot tables/forms. </w:t>
      </w:r>
      <w:r>
        <w:rPr>
          <w:color w:val="A6A6A6"/>
        </w:rPr>
        <w:t>■</w:t>
      </w:r>
      <w:r>
        <w:rPr>
          <w:color w:val="7F7F7F"/>
        </w:rPr>
        <w:t xml:space="preserve"> </w:t>
      </w:r>
      <w:r>
        <w:t xml:space="preserve">Access power user possessing advanced knowledge of ADO configuration in multiuser environments and unbounded/disconnected form development. </w:t>
      </w:r>
      <w:r>
        <w:rPr>
          <w:color w:val="A6A6A6"/>
        </w:rPr>
        <w:t>■</w:t>
      </w:r>
      <w:r>
        <w:t xml:space="preserve"> VBA-driven solutions for demanding computation, dat</w:t>
      </w:r>
      <w:r>
        <w:t xml:space="preserve">a collection (including web scraping), filesystem management, automatic report generation with email distribution, database administration, pivot table/table/connection management. </w:t>
      </w:r>
    </w:p>
    <w:p w:rsidR="002F3C81" w:rsidRDefault="00D5299D">
      <w:pPr>
        <w:spacing w:after="203" w:line="259" w:lineRule="auto"/>
        <w:ind w:left="101" w:firstLine="0"/>
      </w:pPr>
      <w:r>
        <w:rPr>
          <w:i/>
          <w:color w:val="262626"/>
        </w:rPr>
        <w:t xml:space="preserve">Core competencies include: </w:t>
      </w:r>
    </w:p>
    <w:p w:rsidR="002F3C81" w:rsidRDefault="00D5299D">
      <w:pPr>
        <w:tabs>
          <w:tab w:val="center" w:pos="242"/>
          <w:tab w:val="center" w:pos="2977"/>
          <w:tab w:val="center" w:pos="6094"/>
          <w:tab w:val="center" w:pos="7831"/>
        </w:tabs>
        <w:spacing w:after="0" w:line="259" w:lineRule="auto"/>
        <w:ind w:left="0" w:firstLine="0"/>
      </w:pPr>
      <w:r>
        <w:rPr>
          <w:rFonts w:ascii="Calibri" w:eastAsia="Calibri" w:hAnsi="Calibri" w:cs="Calibri"/>
          <w:sz w:val="22"/>
        </w:rPr>
        <w:tab/>
      </w:r>
      <w:r>
        <w:rPr>
          <w:rFonts w:ascii="Wingdings" w:eastAsia="Wingdings" w:hAnsi="Wingdings" w:cs="Wingdings"/>
          <w:color w:val="262626"/>
          <w:sz w:val="20"/>
        </w:rPr>
        <w:t></w:t>
      </w:r>
      <w:r>
        <w:rPr>
          <w:rFonts w:ascii="Arial" w:eastAsia="Arial" w:hAnsi="Arial" w:cs="Arial"/>
          <w:color w:val="262626"/>
          <w:sz w:val="31"/>
          <w:vertAlign w:val="superscript"/>
        </w:rPr>
        <w:t xml:space="preserve"> </w:t>
      </w:r>
      <w:r>
        <w:rPr>
          <w:rFonts w:ascii="Arial" w:eastAsia="Arial" w:hAnsi="Arial" w:cs="Arial"/>
          <w:color w:val="262626"/>
          <w:sz w:val="31"/>
          <w:vertAlign w:val="superscript"/>
        </w:rPr>
        <w:tab/>
      </w:r>
      <w:r>
        <w:rPr>
          <w:rFonts w:ascii="Kalinga" w:eastAsia="Kalinga" w:hAnsi="Kalinga" w:cs="Kalinga"/>
          <w:b/>
          <w:color w:val="262626"/>
          <w:sz w:val="16"/>
        </w:rPr>
        <w:t>Information Technology/Automation &amp; Proces</w:t>
      </w:r>
      <w:r>
        <w:rPr>
          <w:rFonts w:ascii="Kalinga" w:eastAsia="Kalinga" w:hAnsi="Kalinga" w:cs="Kalinga"/>
          <w:b/>
          <w:color w:val="262626"/>
          <w:sz w:val="16"/>
        </w:rPr>
        <w:t xml:space="preserve">s Improvement </w:t>
      </w:r>
      <w:r>
        <w:rPr>
          <w:rFonts w:ascii="Kalinga" w:eastAsia="Kalinga" w:hAnsi="Kalinga" w:cs="Kalinga"/>
          <w:b/>
          <w:color w:val="262626"/>
          <w:sz w:val="16"/>
        </w:rPr>
        <w:tab/>
      </w:r>
      <w:r>
        <w:rPr>
          <w:rFonts w:ascii="Wingdings" w:eastAsia="Wingdings" w:hAnsi="Wingdings" w:cs="Wingdings"/>
          <w:color w:val="262626"/>
          <w:sz w:val="20"/>
        </w:rPr>
        <w:t></w:t>
      </w:r>
      <w:r>
        <w:rPr>
          <w:rFonts w:ascii="Arial" w:eastAsia="Arial" w:hAnsi="Arial" w:cs="Arial"/>
          <w:color w:val="262626"/>
          <w:sz w:val="31"/>
          <w:vertAlign w:val="superscript"/>
        </w:rPr>
        <w:t xml:space="preserve"> </w:t>
      </w:r>
      <w:r>
        <w:rPr>
          <w:rFonts w:ascii="Arial" w:eastAsia="Arial" w:hAnsi="Arial" w:cs="Arial"/>
          <w:color w:val="262626"/>
          <w:sz w:val="31"/>
          <w:vertAlign w:val="superscript"/>
        </w:rPr>
        <w:tab/>
      </w:r>
      <w:r>
        <w:rPr>
          <w:rFonts w:ascii="Kalinga" w:eastAsia="Kalinga" w:hAnsi="Kalinga" w:cs="Kalinga"/>
          <w:b/>
          <w:color w:val="262626"/>
          <w:sz w:val="16"/>
        </w:rPr>
        <w:t xml:space="preserve">Financial/Data Analysis &amp; Reporting </w:t>
      </w:r>
    </w:p>
    <w:p w:rsidR="002F3C81" w:rsidRDefault="00D5299D">
      <w:pPr>
        <w:pStyle w:val="Heading1"/>
        <w:spacing w:after="81"/>
        <w:ind w:left="-17"/>
      </w:pPr>
      <w:r>
        <w:rPr>
          <w:b w:val="0"/>
          <w:color w:val="000000"/>
          <w:sz w:val="17"/>
        </w:rPr>
        <w:t xml:space="preserve">  </w:t>
      </w:r>
      <w:r>
        <w:t xml:space="preserve">PROFESSIONAL EXPERIENCE </w:t>
      </w:r>
    </w:p>
    <w:p w:rsidR="002F3C81" w:rsidRDefault="00D5299D">
      <w:pPr>
        <w:spacing w:after="27" w:line="259" w:lineRule="auto"/>
        <w:ind w:left="369" w:hanging="10"/>
      </w:pPr>
      <w:r>
        <w:rPr>
          <w:rFonts w:ascii="Kalinga" w:eastAsia="Kalinga" w:hAnsi="Kalinga" w:cs="Kalinga"/>
          <w:b/>
          <w:sz w:val="20"/>
        </w:rPr>
        <w:t>BRUNDAGE-BONE CONCRETE PUMPING</w:t>
      </w:r>
      <w:r>
        <w:rPr>
          <w:rFonts w:ascii="Kalinga" w:eastAsia="Kalinga" w:hAnsi="Kalinga" w:cs="Kalinga"/>
          <w:sz w:val="20"/>
        </w:rPr>
        <w:t xml:space="preserve">, Denver, Colorado [2018 – 2019] </w:t>
      </w:r>
    </w:p>
    <w:p w:rsidR="002F3C81" w:rsidRDefault="00D5299D">
      <w:pPr>
        <w:pStyle w:val="Heading2"/>
        <w:ind w:left="369"/>
      </w:pPr>
      <w:r>
        <w:t xml:space="preserve">SENIOR FINANCIAL ANALYST </w:t>
      </w:r>
    </w:p>
    <w:p w:rsidR="002F3C81" w:rsidRDefault="00D5299D">
      <w:pPr>
        <w:ind w:left="374" w:right="134" w:firstLine="0"/>
      </w:pPr>
      <w:r>
        <w:t xml:space="preserve">Resolve long-standing financial reporting and management problems. Provide auditing and technical support in the public offering of Concrete Pumping Holdings. Analyze job ticketing and pricing, and billing and payroll processes. Provide robust measures to </w:t>
      </w:r>
      <w:r>
        <w:t xml:space="preserve">facilitate performance evaluation. Develop and implement interim and permanent solutions in the areas of report generation and distribution.  </w:t>
      </w:r>
    </w:p>
    <w:p w:rsidR="002F3C81" w:rsidRDefault="00D5299D">
      <w:pPr>
        <w:spacing w:after="47" w:line="259" w:lineRule="auto"/>
        <w:ind w:left="398" w:hanging="10"/>
      </w:pPr>
      <w:r>
        <w:rPr>
          <w:color w:val="404040"/>
          <w:sz w:val="20"/>
        </w:rPr>
        <w:t xml:space="preserve">KEY ACHIEVEMENTS: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Provided a solution for comprehensive engine speed management to reduce fuel consumption and</w:t>
      </w:r>
      <w:r>
        <w:t xml:space="preserve"> expense. Without a means for management to govern engine speeds while pumping, I collected and analyzed 20M+ engine speed records and provided a model that allows management to see and correct undesirable pump activity at the vehicle level. The solution w</w:t>
      </w:r>
      <w:r>
        <w:t>ill save several hundreds of thousands of dollars a year at least and I produced a working model in less than a week.</w:t>
      </w:r>
      <w:r>
        <w:rPr>
          <w:b/>
        </w:rPr>
        <w:t xml:space="preserve">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Provided a inexpensive and effective solution to monitor billing and payroll performance. Collected and analyzed 5M+ Geotab trip record</w:t>
      </w:r>
      <w:r>
        <w:t xml:space="preserve">s and calculated out-of-yard driving, stopped and idling durations over several years with near flawless accuracy. Identified anomalies in payroll activity.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 xml:space="preserve">Enhanced all critical reporting based in Excel workbooks to be self-replicating. Developed an Access application that allows users to distribute any of these reports to one or more email distribution lists, and create and manage new distributions.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Confi</w:t>
      </w:r>
      <w:r>
        <w:t xml:space="preserve">gured and migrated internal reports to SQL Server Reporting Services (SSRS). Developed an advanced P&amp;L and AR aging reporting and distribution solution for regional and branch managers and executives.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Installed, configured and implemented Display Monkey</w:t>
      </w:r>
      <w:r>
        <w:t xml:space="preserve"> digital signage for branch offices. Provided automatic reporting for branch managers and operators with measures around job activity (volume poured, equipment usage, travel distances and durations, etc.) and daily job details to minimize shop payroll hour</w:t>
      </w:r>
      <w:r>
        <w:t xml:space="preserve">s. </w:t>
      </w:r>
    </w:p>
    <w:p w:rsidR="002F3C81" w:rsidRDefault="00D5299D">
      <w:pPr>
        <w:spacing w:after="158"/>
        <w:ind w:left="1087" w:right="134"/>
      </w:pPr>
      <w:r>
        <w:rPr>
          <w:rFonts w:ascii="Calibri" w:eastAsia="Calibri" w:hAnsi="Calibri" w:cs="Calibri"/>
          <w:sz w:val="20"/>
        </w:rPr>
        <w:t>▪</w:t>
      </w:r>
      <w:r>
        <w:rPr>
          <w:rFonts w:ascii="Arial" w:eastAsia="Arial" w:hAnsi="Arial" w:cs="Arial"/>
          <w:sz w:val="20"/>
        </w:rPr>
        <w:t xml:space="preserve"> </w:t>
      </w:r>
      <w:r>
        <w:t>Repaired several critical Access-based payroll applications. Modified third-party developed solutions to incorporate recent accounting changes for branches in several states. Automated Excel workbook payroll report creation, saving over 20 hours a we</w:t>
      </w:r>
      <w:r>
        <w:t xml:space="preserve">ek across branch offices. </w:t>
      </w:r>
    </w:p>
    <w:p w:rsidR="002F3C81" w:rsidRDefault="00D5299D">
      <w:pPr>
        <w:spacing w:after="27" w:line="259" w:lineRule="auto"/>
        <w:ind w:left="369" w:hanging="10"/>
      </w:pPr>
      <w:r>
        <w:rPr>
          <w:rFonts w:ascii="Kalinga" w:eastAsia="Kalinga" w:hAnsi="Kalinga" w:cs="Kalinga"/>
          <w:b/>
          <w:sz w:val="20"/>
        </w:rPr>
        <w:t>IHS MARKIT</w:t>
      </w:r>
      <w:r>
        <w:rPr>
          <w:rFonts w:ascii="Kalinga" w:eastAsia="Kalinga" w:hAnsi="Kalinga" w:cs="Kalinga"/>
          <w:sz w:val="20"/>
        </w:rPr>
        <w:t>, Englewood, Colorado [2014 – 2018]</w:t>
      </w:r>
      <w:r>
        <w:rPr>
          <w:rFonts w:ascii="Kalinga" w:eastAsia="Kalinga" w:hAnsi="Kalinga" w:cs="Kalinga"/>
          <w:b/>
          <w:sz w:val="20"/>
        </w:rPr>
        <w:t xml:space="preserve"> </w:t>
      </w:r>
    </w:p>
    <w:p w:rsidR="002F3C81" w:rsidRDefault="00D5299D">
      <w:pPr>
        <w:pStyle w:val="Heading2"/>
        <w:ind w:left="369"/>
      </w:pPr>
      <w:r>
        <w:t xml:space="preserve">SENIOR FINANCIAL AND SYSTEMS ANALYST </w:t>
      </w:r>
    </w:p>
    <w:p w:rsidR="002F3C81" w:rsidRDefault="00D5299D">
      <w:pPr>
        <w:ind w:left="374" w:right="134" w:firstLine="0"/>
      </w:pPr>
      <w:r>
        <w:t xml:space="preserve">Provide business leaders with accurate monthly P&amp;L related information. Perform ad hoc analysis in support of corporate shared services and the </w:t>
      </w:r>
      <w:r>
        <w:t xml:space="preserve">business lines as needed. </w:t>
      </w:r>
    </w:p>
    <w:p w:rsidR="002F3C81" w:rsidRDefault="00D5299D">
      <w:pPr>
        <w:spacing w:after="47" w:line="259" w:lineRule="auto"/>
        <w:ind w:left="398" w:hanging="10"/>
      </w:pPr>
      <w:r>
        <w:rPr>
          <w:color w:val="404040"/>
          <w:sz w:val="20"/>
        </w:rPr>
        <w:t xml:space="preserve">KEY ACHIEVEMENTS: </w:t>
      </w:r>
    </w:p>
    <w:p w:rsidR="002F3C81" w:rsidRDefault="00D5299D">
      <w:pPr>
        <w:ind w:left="1087" w:right="134"/>
      </w:pPr>
      <w:r>
        <w:rPr>
          <w:rFonts w:ascii="Calibri" w:eastAsia="Calibri" w:hAnsi="Calibri" w:cs="Calibri"/>
          <w:sz w:val="20"/>
        </w:rPr>
        <w:t>▪</w:t>
      </w:r>
      <w:r>
        <w:rPr>
          <w:rFonts w:ascii="Arial" w:eastAsia="Arial" w:hAnsi="Arial" w:cs="Arial"/>
          <w:sz w:val="20"/>
        </w:rPr>
        <w:t xml:space="preserve"> </w:t>
      </w:r>
      <w:r>
        <w:t>Produced financial reports supporting a company-wide BI project. Automated the extraction of numerous revenue and expense scenarios from HFM and Essbase cubes in transactional currency and created organic rev</w:t>
      </w:r>
      <w:r>
        <w:t>enue and internal P&amp;L reports for twenty seven business lines (and 60 sub-business lines) under various rate movement assumptions. Managed corporate shared expense allocation for external segment reporting.</w:t>
      </w:r>
      <w:r>
        <w:rPr>
          <w:b/>
        </w:rPr>
        <w:t xml:space="preserve"> </w:t>
      </w:r>
    </w:p>
    <w:p w:rsidR="002F3C81" w:rsidRDefault="00D5299D">
      <w:pPr>
        <w:ind w:left="1087" w:right="134"/>
      </w:pPr>
      <w:r>
        <w:rPr>
          <w:rFonts w:ascii="Calibri" w:eastAsia="Calibri" w:hAnsi="Calibri" w:cs="Calibri"/>
          <w:sz w:val="20"/>
        </w:rPr>
        <w:lastRenderedPageBreak/>
        <w:t>▪</w:t>
      </w:r>
      <w:r>
        <w:rPr>
          <w:rFonts w:ascii="Arial" w:eastAsia="Arial" w:hAnsi="Arial" w:cs="Arial"/>
          <w:sz w:val="20"/>
        </w:rPr>
        <w:t xml:space="preserve"> </w:t>
      </w:r>
      <w:r>
        <w:t xml:space="preserve">Validated and optimized calculations related to revenue, expense and FX impact to support operational performance reporting across all business lines. </w:t>
      </w:r>
    </w:p>
    <w:p w:rsidR="002F3C81" w:rsidRDefault="00D5299D">
      <w:pPr>
        <w:ind w:left="806" w:right="134" w:firstLine="0"/>
      </w:pPr>
      <w:r>
        <w:rPr>
          <w:rFonts w:ascii="Calibri" w:eastAsia="Calibri" w:hAnsi="Calibri" w:cs="Calibri"/>
          <w:sz w:val="20"/>
        </w:rPr>
        <w:t>▪</w:t>
      </w:r>
      <w:r>
        <w:rPr>
          <w:rFonts w:ascii="Arial" w:eastAsia="Arial" w:hAnsi="Arial" w:cs="Arial"/>
          <w:sz w:val="20"/>
        </w:rPr>
        <w:t xml:space="preserve"> </w:t>
      </w:r>
      <w:r>
        <w:t>Worked with the vendor management team to create a test approval hierarchy using Workday headcount, AP</w:t>
      </w:r>
      <w:r>
        <w:t xml:space="preserve"> and cost </w:t>
      </w:r>
    </w:p>
    <w:p w:rsidR="002F3C81" w:rsidRDefault="00D5299D">
      <w:pPr>
        <w:spacing w:after="83" w:line="259" w:lineRule="auto"/>
        <w:ind w:left="0" w:right="182" w:firstLine="0"/>
        <w:jc w:val="right"/>
      </w:pPr>
      <w:r>
        <w:t xml:space="preserve">center data to optimize the processing of 70,000+ AP documents/year in support of Ariba and OpenText deployments. </w:t>
      </w:r>
    </w:p>
    <w:p w:rsidR="002F3C81" w:rsidRDefault="00D5299D">
      <w:pPr>
        <w:spacing w:after="0" w:line="259" w:lineRule="auto"/>
        <w:ind w:left="369" w:hanging="10"/>
      </w:pPr>
      <w:r>
        <w:rPr>
          <w:rFonts w:ascii="Kalinga" w:eastAsia="Kalinga" w:hAnsi="Kalinga" w:cs="Kalinga"/>
          <w:b/>
          <w:sz w:val="20"/>
        </w:rPr>
        <w:t>MONOLITH SOLAR ASSOCIATES</w:t>
      </w:r>
      <w:r>
        <w:rPr>
          <w:rFonts w:ascii="Kalinga" w:eastAsia="Kalinga" w:hAnsi="Kalinga" w:cs="Kalinga"/>
          <w:sz w:val="20"/>
        </w:rPr>
        <w:t>, Albany, New York [2013 - 2014]</w:t>
      </w:r>
      <w:r>
        <w:rPr>
          <w:rFonts w:ascii="Kalinga" w:eastAsia="Kalinga" w:hAnsi="Kalinga" w:cs="Kalinga"/>
          <w:b/>
          <w:sz w:val="20"/>
        </w:rPr>
        <w:t xml:space="preserve"> </w:t>
      </w:r>
    </w:p>
    <w:p w:rsidR="002F3C81" w:rsidRDefault="00D5299D">
      <w:pPr>
        <w:pStyle w:val="Heading2"/>
        <w:ind w:left="369"/>
      </w:pPr>
      <w:r>
        <w:t xml:space="preserve">BUSINESS SYSTEMS ANALYST </w:t>
      </w:r>
    </w:p>
    <w:p w:rsidR="002F3C81" w:rsidRDefault="00D5299D">
      <w:pPr>
        <w:ind w:left="360" w:right="134" w:firstLine="0"/>
      </w:pPr>
      <w:r>
        <w:t xml:space="preserve">Provided accounting, financial analysis and IT support to the owners and department managers. Gathered and documented system requirements and interfaced with third-party developers to support and improve operations. </w:t>
      </w:r>
    </w:p>
    <w:p w:rsidR="002F3C81" w:rsidRDefault="00D5299D">
      <w:pPr>
        <w:spacing w:after="47" w:line="259" w:lineRule="auto"/>
        <w:ind w:left="398" w:hanging="10"/>
      </w:pPr>
      <w:r>
        <w:rPr>
          <w:color w:val="404040"/>
          <w:sz w:val="20"/>
        </w:rPr>
        <w:t xml:space="preserve">KEY ACHIEVEMENTS: </w:t>
      </w:r>
    </w:p>
    <w:p w:rsidR="002F3C81" w:rsidRDefault="00D5299D">
      <w:pPr>
        <w:spacing w:after="65" w:line="231" w:lineRule="auto"/>
        <w:ind w:left="1121" w:right="485" w:hanging="370"/>
        <w:jc w:val="both"/>
      </w:pPr>
      <w:r>
        <w:rPr>
          <w:rFonts w:ascii="Calibri" w:eastAsia="Calibri" w:hAnsi="Calibri" w:cs="Calibri"/>
          <w:sz w:val="20"/>
        </w:rPr>
        <w:t>▪</w:t>
      </w:r>
      <w:r>
        <w:rPr>
          <w:rFonts w:ascii="Arial" w:eastAsia="Arial" w:hAnsi="Arial" w:cs="Arial"/>
          <w:sz w:val="20"/>
        </w:rPr>
        <w:t xml:space="preserve"> </w:t>
      </w:r>
      <w:r>
        <w:t>Reduced payroll pr</w:t>
      </w:r>
      <w:r>
        <w:t>ocessing time by 4-6 hours/week and human error by extending the functionality of existing timesheets reporting application using the Smartsheet C# SDK. Automated payroll and job costing report creation, and synchronization with QuickBooks (using the QODBC</w:t>
      </w:r>
      <w:r>
        <w:t xml:space="preserve"> connector). </w:t>
      </w:r>
    </w:p>
    <w:p w:rsidR="002F3C81" w:rsidRDefault="00D5299D">
      <w:pPr>
        <w:ind w:left="1166" w:right="439" w:hanging="360"/>
      </w:pP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t>Created an innovative solution to calculate and adjust billing rates for over 200 Power Purchase Agreement accounts. Eliminated the problem of manually downloading and processing 3,500+ utility and ESCO statements every 6 months. Reduced r</w:t>
      </w:r>
      <w:r>
        <w:t>ecalculation time from 3 weeks to 5 minutes. Analyzed the structure of billing statements covering all service classifications (using C#/ADO.NET/Docotic.pdf) in order to automate text extraction. Provided consumption insight and recommendations on how to e</w:t>
      </w:r>
      <w:r>
        <w:t xml:space="preserve">liminate power demand charges. </w:t>
      </w:r>
    </w:p>
    <w:p w:rsidR="002F3C81" w:rsidRDefault="00D5299D">
      <w:pPr>
        <w:ind w:left="1166" w:right="134" w:hanging="360"/>
      </w:pPr>
      <w:r>
        <w:rPr>
          <w:rFonts w:ascii="Calibri" w:eastAsia="Calibri" w:hAnsi="Calibri" w:cs="Calibri"/>
          <w:sz w:val="20"/>
        </w:rPr>
        <w:t>▪</w:t>
      </w:r>
      <w:r>
        <w:rPr>
          <w:rFonts w:ascii="Arial" w:eastAsia="Arial" w:hAnsi="Arial" w:cs="Arial"/>
          <w:sz w:val="20"/>
        </w:rPr>
        <w:t xml:space="preserve"> </w:t>
      </w:r>
      <w:r>
        <w:t xml:space="preserve">Led the design of the </w:t>
      </w:r>
      <w:r>
        <w:t>company’s</w:t>
      </w:r>
      <w:r>
        <w:t xml:space="preserve"> remote monitoring system, tying together PVWatts/eGauge/Zoho CRM to audit system performance, automate billing and support operations and maintenance functions. </w:t>
      </w:r>
    </w:p>
    <w:p w:rsidR="002F3C81" w:rsidRDefault="00D5299D">
      <w:pPr>
        <w:ind w:left="1166" w:right="769" w:hanging="360"/>
      </w:pP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t>Automated inverter to arr</w:t>
      </w:r>
      <w:r>
        <w:t xml:space="preserve">ay matching to support engineering of systems using VBA/ADO. Significantly reduced design time by for large systems. </w:t>
      </w:r>
    </w:p>
    <w:p w:rsidR="002F3C81" w:rsidRDefault="00D5299D">
      <w:pPr>
        <w:spacing w:after="130" w:line="231" w:lineRule="auto"/>
        <w:ind w:left="1121" w:right="1194" w:hanging="370"/>
        <w:jc w:val="both"/>
      </w:pPr>
      <w:r>
        <w:rPr>
          <w:rFonts w:ascii="Calibri" w:eastAsia="Calibri" w:hAnsi="Calibri" w:cs="Calibri"/>
          <w:sz w:val="20"/>
        </w:rPr>
        <w:t>▪</w:t>
      </w:r>
      <w:r>
        <w:rPr>
          <w:rFonts w:ascii="Arial" w:eastAsia="Arial" w:hAnsi="Arial" w:cs="Arial"/>
          <w:sz w:val="20"/>
        </w:rPr>
        <w:t xml:space="preserve"> </w:t>
      </w:r>
      <w:r>
        <w:t>Created a strategy to minimize tax liability by evaluating internal versus external Investment Tax Credit consumption. Used a linear pro</w:t>
      </w:r>
      <w:r>
        <w:t xml:space="preserve">gram to determine the optimal install ratio between sold and PPA systems of all sizes. </w:t>
      </w:r>
    </w:p>
    <w:p w:rsidR="002F3C81" w:rsidRDefault="00D5299D">
      <w:pPr>
        <w:spacing w:after="0" w:line="259" w:lineRule="auto"/>
        <w:ind w:left="403" w:firstLine="0"/>
      </w:pPr>
      <w:r>
        <w:rPr>
          <w:rFonts w:ascii="Kalinga" w:eastAsia="Kalinga" w:hAnsi="Kalinga" w:cs="Kalinga"/>
          <w:b/>
          <w:color w:val="262626"/>
          <w:sz w:val="20"/>
        </w:rPr>
        <w:t>NEW YORK STATE TEACHERS’ RETIREMENT SYSTEM</w:t>
      </w:r>
      <w:r>
        <w:rPr>
          <w:rFonts w:ascii="Kalinga" w:eastAsia="Kalinga" w:hAnsi="Kalinga" w:cs="Kalinga"/>
          <w:color w:val="262626"/>
          <w:sz w:val="20"/>
        </w:rPr>
        <w:t xml:space="preserve">, Albany, New York [2010] </w:t>
      </w:r>
    </w:p>
    <w:p w:rsidR="002F3C81" w:rsidRDefault="00D5299D">
      <w:pPr>
        <w:spacing w:after="3" w:line="259" w:lineRule="auto"/>
        <w:ind w:left="355" w:hanging="10"/>
      </w:pPr>
      <w:r>
        <w:rPr>
          <w:rFonts w:ascii="Kalinga" w:eastAsia="Kalinga" w:hAnsi="Kalinga" w:cs="Kalinga"/>
          <w:b/>
          <w:color w:val="365F91"/>
          <w:sz w:val="20"/>
        </w:rPr>
        <w:t xml:space="preserve">INTERN, INVESTMENTS, PUBLIC EQUITIES </w:t>
      </w:r>
    </w:p>
    <w:p w:rsidR="002F3C81" w:rsidRDefault="00D5299D">
      <w:pPr>
        <w:spacing w:after="51" w:line="249" w:lineRule="auto"/>
        <w:ind w:left="369" w:right="8" w:hanging="10"/>
        <w:jc w:val="both"/>
      </w:pPr>
      <w:r>
        <w:rPr>
          <w:color w:val="262626"/>
        </w:rPr>
        <w:t>Supported trading processing and execution by analyzing tradi</w:t>
      </w:r>
      <w:r>
        <w:rPr>
          <w:color w:val="262626"/>
        </w:rPr>
        <w:t xml:space="preserve">ng records to assess trader and broker performance over an 8year period. Identified shortcomings and made recommendations to improve the trading program. Partnered with the Assistant Director of Public Equities in handling monthly portfolio rebalancing. </w:t>
      </w:r>
    </w:p>
    <w:p w:rsidR="002F3C81" w:rsidRDefault="00D5299D">
      <w:pPr>
        <w:spacing w:after="55" w:line="259" w:lineRule="auto"/>
        <w:ind w:left="398" w:hanging="10"/>
      </w:pPr>
      <w:r>
        <w:rPr>
          <w:color w:val="262626"/>
          <w:sz w:val="20"/>
        </w:rPr>
        <w:t xml:space="preserve">KEY ACHIEVEMENTS: </w:t>
      </w:r>
    </w:p>
    <w:p w:rsidR="002F3C81" w:rsidRDefault="00D5299D">
      <w:pPr>
        <w:spacing w:after="95" w:line="249" w:lineRule="auto"/>
        <w:ind w:left="1124" w:right="8" w:hanging="360"/>
        <w:jc w:val="both"/>
      </w:pPr>
      <w:r>
        <w:rPr>
          <w:rFonts w:ascii="Calibri" w:eastAsia="Calibri" w:hAnsi="Calibri" w:cs="Calibri"/>
          <w:color w:val="262626"/>
          <w:sz w:val="20"/>
        </w:rPr>
        <w:t>▪</w:t>
      </w:r>
      <w:r>
        <w:rPr>
          <w:rFonts w:ascii="Arial" w:eastAsia="Arial" w:hAnsi="Arial" w:cs="Arial"/>
          <w:color w:val="262626"/>
          <w:sz w:val="20"/>
        </w:rPr>
        <w:t xml:space="preserve"> </w:t>
      </w:r>
      <w:r>
        <w:rPr>
          <w:color w:val="262626"/>
        </w:rPr>
        <w:t xml:space="preserve">Reduced transaction costs averaging $30 million annually and developed a framework to evaluate order execution quality across all portfolios over a seven-year period. Presented a detailed analysis of findings to the Director of Public Equities. </w:t>
      </w:r>
    </w:p>
    <w:p w:rsidR="002F3C81" w:rsidRDefault="00D5299D">
      <w:pPr>
        <w:spacing w:after="2" w:line="265" w:lineRule="auto"/>
        <w:ind w:left="355" w:right="3613" w:hanging="10"/>
      </w:pPr>
      <w:r>
        <w:rPr>
          <w:rFonts w:ascii="Kalinga" w:eastAsia="Kalinga" w:hAnsi="Kalinga" w:cs="Kalinga"/>
          <w:b/>
          <w:color w:val="262626"/>
          <w:sz w:val="20"/>
        </w:rPr>
        <w:t>UNITED STA</w:t>
      </w:r>
      <w:r>
        <w:rPr>
          <w:rFonts w:ascii="Kalinga" w:eastAsia="Kalinga" w:hAnsi="Kalinga" w:cs="Kalinga"/>
          <w:b/>
          <w:color w:val="262626"/>
          <w:sz w:val="20"/>
        </w:rPr>
        <w:t>TES ARMY</w:t>
      </w:r>
      <w:r>
        <w:rPr>
          <w:rFonts w:ascii="Kalinga" w:eastAsia="Kalinga" w:hAnsi="Kalinga" w:cs="Kalinga"/>
          <w:color w:val="262626"/>
          <w:sz w:val="20"/>
        </w:rPr>
        <w:t xml:space="preserve">, Fort Hood, Texas [2007-2009] </w:t>
      </w:r>
      <w:r>
        <w:rPr>
          <w:rFonts w:ascii="Kalinga" w:eastAsia="Kalinga" w:hAnsi="Kalinga" w:cs="Kalinga"/>
          <w:b/>
          <w:color w:val="365F91"/>
          <w:sz w:val="20"/>
        </w:rPr>
        <w:t xml:space="preserve">COMPTROLLER </w:t>
      </w:r>
    </w:p>
    <w:p w:rsidR="002F3C81" w:rsidRDefault="00D5299D">
      <w:pPr>
        <w:spacing w:after="51" w:line="249" w:lineRule="auto"/>
        <w:ind w:left="369" w:right="8" w:hanging="10"/>
        <w:jc w:val="both"/>
      </w:pPr>
      <w:r>
        <w:rPr>
          <w:color w:val="262626"/>
        </w:rPr>
        <w:t xml:space="preserve">Served as a dedicated regional comptroller during a fifteen month deployment to eastern Afghanistan. </w:t>
      </w:r>
    </w:p>
    <w:p w:rsidR="002F3C81" w:rsidRDefault="00D5299D">
      <w:pPr>
        <w:spacing w:after="55" w:line="259" w:lineRule="auto"/>
        <w:ind w:left="398" w:hanging="10"/>
      </w:pPr>
      <w:r>
        <w:rPr>
          <w:color w:val="262626"/>
          <w:sz w:val="20"/>
        </w:rPr>
        <w:t xml:space="preserve">KEY ACHIEVEMENTS: </w:t>
      </w:r>
    </w:p>
    <w:p w:rsidR="002F3C81" w:rsidRDefault="00D5299D">
      <w:pPr>
        <w:spacing w:after="98" w:line="249" w:lineRule="auto"/>
        <w:ind w:left="1037" w:right="663" w:hanging="360"/>
        <w:jc w:val="both"/>
      </w:pPr>
      <w:r>
        <w:rPr>
          <w:rFonts w:ascii="Calibri" w:eastAsia="Calibri" w:hAnsi="Calibri" w:cs="Calibri"/>
          <w:color w:val="262626"/>
          <w:sz w:val="20"/>
        </w:rPr>
        <w:t>▪</w:t>
      </w:r>
      <w:r>
        <w:rPr>
          <w:rFonts w:ascii="Arial" w:eastAsia="Arial" w:hAnsi="Arial" w:cs="Arial"/>
          <w:color w:val="262626"/>
          <w:sz w:val="20"/>
        </w:rPr>
        <w:t xml:space="preserve"> </w:t>
      </w:r>
      <w:r>
        <w:rPr>
          <w:color w:val="262626"/>
        </w:rPr>
        <w:t>Internalized and streamlined operations by identifying key factors to improve for</w:t>
      </w:r>
      <w:r>
        <w:rPr>
          <w:color w:val="262626"/>
        </w:rPr>
        <w:t xml:space="preserve">ecasting and budgeting. Prepared monthly budgets valued at $7 million on average, and analyzed spend versus budget to identify and explain variances. Certified commitments for 3,000+ purchase requests. Tracked obligations and disbursements. </w:t>
      </w:r>
    </w:p>
    <w:p w:rsidR="002F3C81" w:rsidRDefault="00D5299D">
      <w:pPr>
        <w:spacing w:after="2" w:line="265" w:lineRule="auto"/>
        <w:ind w:left="355" w:right="3613" w:hanging="10"/>
      </w:pPr>
      <w:r>
        <w:rPr>
          <w:rFonts w:ascii="Kalinga" w:eastAsia="Kalinga" w:hAnsi="Kalinga" w:cs="Kalinga"/>
          <w:b/>
          <w:color w:val="262626"/>
          <w:sz w:val="20"/>
        </w:rPr>
        <w:t xml:space="preserve">UNITED STATES </w:t>
      </w:r>
      <w:r>
        <w:rPr>
          <w:rFonts w:ascii="Kalinga" w:eastAsia="Kalinga" w:hAnsi="Kalinga" w:cs="Kalinga"/>
          <w:b/>
          <w:color w:val="262626"/>
          <w:sz w:val="20"/>
        </w:rPr>
        <w:t>ARMY</w:t>
      </w:r>
      <w:r>
        <w:rPr>
          <w:rFonts w:ascii="Kalinga" w:eastAsia="Kalinga" w:hAnsi="Kalinga" w:cs="Kalinga"/>
          <w:color w:val="262626"/>
          <w:sz w:val="20"/>
        </w:rPr>
        <w:t xml:space="preserve">, Fort Benning, Georgia [2004-2006] </w:t>
      </w:r>
    </w:p>
    <w:p w:rsidR="002F3C81" w:rsidRDefault="00D5299D">
      <w:pPr>
        <w:spacing w:after="3" w:line="259" w:lineRule="auto"/>
        <w:ind w:left="355" w:hanging="10"/>
      </w:pPr>
      <w:r>
        <w:rPr>
          <w:rFonts w:ascii="Kalinga" w:eastAsia="Kalinga" w:hAnsi="Kalinga" w:cs="Kalinga"/>
          <w:b/>
          <w:color w:val="365F91"/>
          <w:sz w:val="20"/>
        </w:rPr>
        <w:t>ASSISTANT PLANS OFFICER, 36</w:t>
      </w:r>
      <w:r>
        <w:rPr>
          <w:rFonts w:ascii="Kalinga" w:eastAsia="Kalinga" w:hAnsi="Kalinga" w:cs="Kalinga"/>
          <w:b/>
          <w:color w:val="365F91"/>
          <w:sz w:val="20"/>
          <w:vertAlign w:val="superscript"/>
        </w:rPr>
        <w:t xml:space="preserve">TH </w:t>
      </w:r>
      <w:r>
        <w:rPr>
          <w:rFonts w:ascii="Kalinga" w:eastAsia="Kalinga" w:hAnsi="Kalinga" w:cs="Kalinga"/>
          <w:b/>
          <w:color w:val="365F91"/>
          <w:sz w:val="20"/>
        </w:rPr>
        <w:t xml:space="preserve">ENGINEER GROUP </w:t>
      </w:r>
    </w:p>
    <w:p w:rsidR="002F3C81" w:rsidRDefault="00D5299D">
      <w:pPr>
        <w:spacing w:after="121" w:line="249" w:lineRule="auto"/>
        <w:ind w:left="369" w:right="8" w:hanging="10"/>
        <w:jc w:val="both"/>
      </w:pPr>
      <w:r>
        <w:rPr>
          <w:color w:val="262626"/>
        </w:rPr>
        <w:t>Teamed with senior officers and staff to direct equipment and materials required for construction and combat engineering operations in Baghdad, Iraq.  Evaluated operatio</w:t>
      </w:r>
      <w:r>
        <w:rPr>
          <w:color w:val="262626"/>
        </w:rPr>
        <w:t xml:space="preserve">nal requirements and assisted in determining the optimal use of resources. </w:t>
      </w:r>
    </w:p>
    <w:p w:rsidR="002F3C81" w:rsidRDefault="00D5299D">
      <w:pPr>
        <w:pStyle w:val="Heading1"/>
        <w:ind w:left="101" w:firstLine="0"/>
      </w:pPr>
      <w:r>
        <w:rPr>
          <w:color w:val="262626"/>
        </w:rPr>
        <w:t>EDUCATION</w:t>
      </w:r>
      <w:r>
        <w:rPr>
          <w:color w:val="262626"/>
          <w:sz w:val="28"/>
        </w:rPr>
        <w:t xml:space="preserve"> </w:t>
      </w:r>
    </w:p>
    <w:p w:rsidR="002F3C81" w:rsidRDefault="00D5299D">
      <w:pPr>
        <w:pStyle w:val="Heading2"/>
        <w:ind w:left="305" w:firstLine="0"/>
        <w:jc w:val="center"/>
      </w:pPr>
      <w:r>
        <w:rPr>
          <w:color w:val="262626"/>
        </w:rPr>
        <w:t>RENSSELAER POLYTECHNIC INSTITUTE</w:t>
      </w:r>
      <w:r>
        <w:rPr>
          <w:b w:val="0"/>
          <w:color w:val="262626"/>
        </w:rPr>
        <w:t>, Troy, New York</w:t>
      </w:r>
      <w:r>
        <w:rPr>
          <w:color w:val="262626"/>
        </w:rPr>
        <w:t xml:space="preserve"> </w:t>
      </w:r>
    </w:p>
    <w:p w:rsidR="002F3C81" w:rsidRDefault="00D5299D">
      <w:pPr>
        <w:pStyle w:val="Heading3"/>
        <w:ind w:left="2547"/>
      </w:pPr>
      <w:r>
        <w:t xml:space="preserve">MASTER OF  SCIENCE IN QUANTITATIVE FINANCE AND  RISK ANALYTICS (2010) </w:t>
      </w:r>
      <w:r>
        <w:rPr>
          <w:color w:val="262626"/>
          <w:sz w:val="20"/>
        </w:rPr>
        <w:t>UNITED STATES MILITARY ACADEMY</w:t>
      </w:r>
      <w:r>
        <w:rPr>
          <w:b w:val="0"/>
          <w:color w:val="262626"/>
          <w:sz w:val="20"/>
        </w:rPr>
        <w:t>, West Point, New York</w:t>
      </w:r>
      <w:r>
        <w:rPr>
          <w:color w:val="262626"/>
          <w:sz w:val="20"/>
        </w:rPr>
        <w:t xml:space="preserve"> </w:t>
      </w:r>
      <w:r>
        <w:t xml:space="preserve">BACHELOR OF  SCIENCE IN  INFORMATION SYSTEMS ENGINEERING - SYSTEMS </w:t>
      </w:r>
    </w:p>
    <w:p w:rsidR="002F3C81" w:rsidRDefault="00D5299D">
      <w:pPr>
        <w:spacing w:after="0" w:line="259" w:lineRule="auto"/>
        <w:ind w:left="306" w:firstLine="0"/>
        <w:jc w:val="center"/>
      </w:pPr>
      <w:r>
        <w:rPr>
          <w:rFonts w:ascii="Kalinga" w:eastAsia="Kalinga" w:hAnsi="Kalinga" w:cs="Kalinga"/>
          <w:b/>
          <w:color w:val="365F91"/>
        </w:rPr>
        <w:t>ENGINEERING TRACK (2004)</w:t>
      </w:r>
      <w:r>
        <w:rPr>
          <w:rFonts w:ascii="Calibri" w:eastAsia="Calibri" w:hAnsi="Calibri" w:cs="Calibri"/>
          <w:b/>
          <w:color w:val="365F91"/>
        </w:rPr>
        <w:t xml:space="preserve"> </w:t>
      </w:r>
    </w:p>
    <w:p w:rsidR="002F3C81" w:rsidRDefault="00D5299D">
      <w:pPr>
        <w:spacing w:after="111" w:line="259" w:lineRule="auto"/>
        <w:ind w:left="1645" w:firstLine="0"/>
      </w:pPr>
      <w:r>
        <w:rPr>
          <w:rFonts w:ascii="Calibri" w:eastAsia="Calibri" w:hAnsi="Calibri" w:cs="Calibri"/>
          <w:noProof/>
          <w:sz w:val="22"/>
        </w:rPr>
        <mc:AlternateContent>
          <mc:Choice Requires="wpg">
            <w:drawing>
              <wp:inline distT="0" distB="0" distL="0" distR="0">
                <wp:extent cx="4773930" cy="9525"/>
                <wp:effectExtent l="0" t="0" r="0" b="0"/>
                <wp:docPr id="2297" name="Group 2297"/>
                <wp:cNvGraphicFramePr/>
                <a:graphic xmlns:a="http://schemas.openxmlformats.org/drawingml/2006/main">
                  <a:graphicData uri="http://schemas.microsoft.com/office/word/2010/wordprocessingGroup">
                    <wpg:wgp>
                      <wpg:cNvGrpSpPr/>
                      <wpg:grpSpPr>
                        <a:xfrm>
                          <a:off x="0" y="0"/>
                          <a:ext cx="4773930" cy="9525"/>
                          <a:chOff x="0" y="0"/>
                          <a:chExt cx="4773930" cy="9525"/>
                        </a:xfrm>
                      </wpg:grpSpPr>
                      <wps:wsp>
                        <wps:cNvPr id="202" name="Shape 202"/>
                        <wps:cNvSpPr/>
                        <wps:spPr>
                          <a:xfrm>
                            <a:off x="0" y="4445"/>
                            <a:ext cx="4772660" cy="0"/>
                          </a:xfrm>
                          <a:custGeom>
                            <a:avLst/>
                            <a:gdLst/>
                            <a:ahLst/>
                            <a:cxnLst/>
                            <a:rect l="0" t="0" r="0" b="0"/>
                            <a:pathLst>
                              <a:path w="4772660">
                                <a:moveTo>
                                  <a:pt x="0" y="0"/>
                                </a:moveTo>
                                <a:lnTo>
                                  <a:pt x="4772660" y="0"/>
                                </a:lnTo>
                              </a:path>
                            </a:pathLst>
                          </a:custGeom>
                          <a:ln w="12065" cap="rnd">
                            <a:round/>
                          </a:ln>
                        </wps:spPr>
                        <wps:style>
                          <a:lnRef idx="1">
                            <a:srgbClr val="9F9F9F"/>
                          </a:lnRef>
                          <a:fillRef idx="0">
                            <a:srgbClr val="000000">
                              <a:alpha val="0"/>
                            </a:srgbClr>
                          </a:fillRef>
                          <a:effectRef idx="0">
                            <a:scrgbClr r="0" g="0" b="0"/>
                          </a:effectRef>
                          <a:fontRef idx="none"/>
                        </wps:style>
                        <wps:bodyPr/>
                      </wps:wsp>
                      <wps:wsp>
                        <wps:cNvPr id="203" name="Shape 203"/>
                        <wps:cNvSpPr/>
                        <wps:spPr>
                          <a:xfrm>
                            <a:off x="0" y="0"/>
                            <a:ext cx="3175" cy="0"/>
                          </a:xfrm>
                          <a:custGeom>
                            <a:avLst/>
                            <a:gdLst/>
                            <a:ahLst/>
                            <a:cxnLst/>
                            <a:rect l="0" t="0" r="0" b="0"/>
                            <a:pathLst>
                              <a:path w="3175">
                                <a:moveTo>
                                  <a:pt x="0" y="0"/>
                                </a:moveTo>
                                <a:lnTo>
                                  <a:pt x="3175" y="0"/>
                                </a:lnTo>
                              </a:path>
                            </a:pathLst>
                          </a:custGeom>
                          <a:ln w="3048" cap="rnd">
                            <a:round/>
                          </a:ln>
                        </wps:spPr>
                        <wps:style>
                          <a:lnRef idx="1">
                            <a:srgbClr val="9F9F9F"/>
                          </a:lnRef>
                          <a:fillRef idx="0">
                            <a:srgbClr val="000000">
                              <a:alpha val="0"/>
                            </a:srgbClr>
                          </a:fillRef>
                          <a:effectRef idx="0">
                            <a:scrgbClr r="0" g="0" b="0"/>
                          </a:effectRef>
                          <a:fontRef idx="none"/>
                        </wps:style>
                        <wps:bodyPr/>
                      </wps:wsp>
                      <wps:wsp>
                        <wps:cNvPr id="204" name="Shape 204"/>
                        <wps:cNvSpPr/>
                        <wps:spPr>
                          <a:xfrm>
                            <a:off x="3175" y="0"/>
                            <a:ext cx="4767580" cy="0"/>
                          </a:xfrm>
                          <a:custGeom>
                            <a:avLst/>
                            <a:gdLst/>
                            <a:ahLst/>
                            <a:cxnLst/>
                            <a:rect l="0" t="0" r="0" b="0"/>
                            <a:pathLst>
                              <a:path w="4767580">
                                <a:moveTo>
                                  <a:pt x="0" y="0"/>
                                </a:moveTo>
                                <a:lnTo>
                                  <a:pt x="4767580" y="0"/>
                                </a:lnTo>
                              </a:path>
                            </a:pathLst>
                          </a:custGeom>
                          <a:ln w="3048" cap="rnd">
                            <a:round/>
                          </a:ln>
                        </wps:spPr>
                        <wps:style>
                          <a:lnRef idx="1">
                            <a:srgbClr val="9F9F9F"/>
                          </a:lnRef>
                          <a:fillRef idx="0">
                            <a:srgbClr val="000000">
                              <a:alpha val="0"/>
                            </a:srgbClr>
                          </a:fillRef>
                          <a:effectRef idx="0">
                            <a:scrgbClr r="0" g="0" b="0"/>
                          </a:effectRef>
                          <a:fontRef idx="none"/>
                        </wps:style>
                        <wps:bodyPr/>
                      </wps:wsp>
                      <wps:wsp>
                        <wps:cNvPr id="205" name="Shape 205"/>
                        <wps:cNvSpPr/>
                        <wps:spPr>
                          <a:xfrm>
                            <a:off x="4771390" y="0"/>
                            <a:ext cx="2540" cy="0"/>
                          </a:xfrm>
                          <a:custGeom>
                            <a:avLst/>
                            <a:gdLst/>
                            <a:ahLst/>
                            <a:cxnLst/>
                            <a:rect l="0" t="0" r="0" b="0"/>
                            <a:pathLst>
                              <a:path w="2540">
                                <a:moveTo>
                                  <a:pt x="0" y="0"/>
                                </a:moveTo>
                                <a:lnTo>
                                  <a:pt x="2540" y="0"/>
                                </a:lnTo>
                              </a:path>
                            </a:pathLst>
                          </a:custGeom>
                          <a:ln w="3048" cap="rnd">
                            <a:round/>
                          </a:ln>
                        </wps:spPr>
                        <wps:style>
                          <a:lnRef idx="1">
                            <a:srgbClr val="E1E1E1"/>
                          </a:lnRef>
                          <a:fillRef idx="0">
                            <a:srgbClr val="000000">
                              <a:alpha val="0"/>
                            </a:srgbClr>
                          </a:fillRef>
                          <a:effectRef idx="0">
                            <a:scrgbClr r="0" g="0" b="0"/>
                          </a:effectRef>
                          <a:fontRef idx="none"/>
                        </wps:style>
                        <wps:bodyPr/>
                      </wps:wsp>
                      <wps:wsp>
                        <wps:cNvPr id="206" name="Shape 206"/>
                        <wps:cNvSpPr/>
                        <wps:spPr>
                          <a:xfrm>
                            <a:off x="4771390" y="0"/>
                            <a:ext cx="2540" cy="0"/>
                          </a:xfrm>
                          <a:custGeom>
                            <a:avLst/>
                            <a:gdLst/>
                            <a:ahLst/>
                            <a:cxnLst/>
                            <a:rect l="0" t="0" r="0" b="0"/>
                            <a:pathLst>
                              <a:path w="2540">
                                <a:moveTo>
                                  <a:pt x="0" y="0"/>
                                </a:moveTo>
                                <a:lnTo>
                                  <a:pt x="2540" y="0"/>
                                </a:lnTo>
                              </a:path>
                            </a:pathLst>
                          </a:custGeom>
                          <a:ln w="3048" cap="rnd">
                            <a:round/>
                          </a:ln>
                        </wps:spPr>
                        <wps:style>
                          <a:lnRef idx="1">
                            <a:srgbClr val="9F9F9F"/>
                          </a:lnRef>
                          <a:fillRef idx="0">
                            <a:srgbClr val="000000">
                              <a:alpha val="0"/>
                            </a:srgbClr>
                          </a:fillRef>
                          <a:effectRef idx="0">
                            <a:scrgbClr r="0" g="0" b="0"/>
                          </a:effectRef>
                          <a:fontRef idx="none"/>
                        </wps:style>
                        <wps:bodyPr/>
                      </wps:wsp>
                      <wps:wsp>
                        <wps:cNvPr id="207" name="Shape 207"/>
                        <wps:cNvSpPr/>
                        <wps:spPr>
                          <a:xfrm>
                            <a:off x="0" y="4445"/>
                            <a:ext cx="3175" cy="0"/>
                          </a:xfrm>
                          <a:custGeom>
                            <a:avLst/>
                            <a:gdLst/>
                            <a:ahLst/>
                            <a:cxnLst/>
                            <a:rect l="0" t="0" r="0" b="0"/>
                            <a:pathLst>
                              <a:path w="3175">
                                <a:moveTo>
                                  <a:pt x="0" y="0"/>
                                </a:moveTo>
                                <a:lnTo>
                                  <a:pt x="3175" y="0"/>
                                </a:lnTo>
                              </a:path>
                            </a:pathLst>
                          </a:custGeom>
                          <a:ln w="6096" cap="rnd">
                            <a:round/>
                          </a:ln>
                        </wps:spPr>
                        <wps:style>
                          <a:lnRef idx="1">
                            <a:srgbClr val="9F9F9F"/>
                          </a:lnRef>
                          <a:fillRef idx="0">
                            <a:srgbClr val="000000">
                              <a:alpha val="0"/>
                            </a:srgbClr>
                          </a:fillRef>
                          <a:effectRef idx="0">
                            <a:scrgbClr r="0" g="0" b="0"/>
                          </a:effectRef>
                          <a:fontRef idx="none"/>
                        </wps:style>
                        <wps:bodyPr/>
                      </wps:wsp>
                      <wps:wsp>
                        <wps:cNvPr id="208" name="Shape 208"/>
                        <wps:cNvSpPr/>
                        <wps:spPr>
                          <a:xfrm>
                            <a:off x="4772660" y="1270"/>
                            <a:ext cx="0" cy="5715"/>
                          </a:xfrm>
                          <a:custGeom>
                            <a:avLst/>
                            <a:gdLst/>
                            <a:ahLst/>
                            <a:cxnLst/>
                            <a:rect l="0" t="0" r="0" b="0"/>
                            <a:pathLst>
                              <a:path h="5715">
                                <a:moveTo>
                                  <a:pt x="0" y="0"/>
                                </a:moveTo>
                                <a:lnTo>
                                  <a:pt x="0" y="5715"/>
                                </a:lnTo>
                              </a:path>
                            </a:pathLst>
                          </a:custGeom>
                          <a:ln w="2540" cap="rnd">
                            <a:round/>
                          </a:ln>
                        </wps:spPr>
                        <wps:style>
                          <a:lnRef idx="1">
                            <a:srgbClr val="E1E1E1"/>
                          </a:lnRef>
                          <a:fillRef idx="0">
                            <a:srgbClr val="000000">
                              <a:alpha val="0"/>
                            </a:srgbClr>
                          </a:fillRef>
                          <a:effectRef idx="0">
                            <a:scrgbClr r="0" g="0" b="0"/>
                          </a:effectRef>
                          <a:fontRef idx="none"/>
                        </wps:style>
                        <wps:bodyPr/>
                      </wps:wsp>
                      <wps:wsp>
                        <wps:cNvPr id="209" name="Shape 209"/>
                        <wps:cNvSpPr/>
                        <wps:spPr>
                          <a:xfrm>
                            <a:off x="0" y="9525"/>
                            <a:ext cx="3175" cy="0"/>
                          </a:xfrm>
                          <a:custGeom>
                            <a:avLst/>
                            <a:gdLst/>
                            <a:ahLst/>
                            <a:cxnLst/>
                            <a:rect l="0" t="0" r="0" b="0"/>
                            <a:pathLst>
                              <a:path w="3175">
                                <a:moveTo>
                                  <a:pt x="0" y="0"/>
                                </a:moveTo>
                                <a:lnTo>
                                  <a:pt x="3175" y="0"/>
                                </a:lnTo>
                              </a:path>
                            </a:pathLst>
                          </a:custGeom>
                          <a:ln w="3048" cap="rnd">
                            <a:round/>
                          </a:ln>
                        </wps:spPr>
                        <wps:style>
                          <a:lnRef idx="1">
                            <a:srgbClr val="9F9F9F"/>
                          </a:lnRef>
                          <a:fillRef idx="0">
                            <a:srgbClr val="000000">
                              <a:alpha val="0"/>
                            </a:srgbClr>
                          </a:fillRef>
                          <a:effectRef idx="0">
                            <a:scrgbClr r="0" g="0" b="0"/>
                          </a:effectRef>
                          <a:fontRef idx="none"/>
                        </wps:style>
                        <wps:bodyPr/>
                      </wps:wsp>
                      <wps:wsp>
                        <wps:cNvPr id="210" name="Shape 210"/>
                        <wps:cNvSpPr/>
                        <wps:spPr>
                          <a:xfrm>
                            <a:off x="0" y="9525"/>
                            <a:ext cx="3175" cy="0"/>
                          </a:xfrm>
                          <a:custGeom>
                            <a:avLst/>
                            <a:gdLst/>
                            <a:ahLst/>
                            <a:cxnLst/>
                            <a:rect l="0" t="0" r="0" b="0"/>
                            <a:pathLst>
                              <a:path w="3175">
                                <a:moveTo>
                                  <a:pt x="0" y="0"/>
                                </a:moveTo>
                                <a:lnTo>
                                  <a:pt x="3175" y="0"/>
                                </a:lnTo>
                              </a:path>
                            </a:pathLst>
                          </a:custGeom>
                          <a:ln w="3048" cap="rnd">
                            <a:round/>
                          </a:ln>
                        </wps:spPr>
                        <wps:style>
                          <a:lnRef idx="1">
                            <a:srgbClr val="E1E1E1"/>
                          </a:lnRef>
                          <a:fillRef idx="0">
                            <a:srgbClr val="000000">
                              <a:alpha val="0"/>
                            </a:srgbClr>
                          </a:fillRef>
                          <a:effectRef idx="0">
                            <a:scrgbClr r="0" g="0" b="0"/>
                          </a:effectRef>
                          <a:fontRef idx="none"/>
                        </wps:style>
                        <wps:bodyPr/>
                      </wps:wsp>
                      <wps:wsp>
                        <wps:cNvPr id="211" name="Shape 211"/>
                        <wps:cNvSpPr/>
                        <wps:spPr>
                          <a:xfrm>
                            <a:off x="3175" y="9525"/>
                            <a:ext cx="4767580" cy="0"/>
                          </a:xfrm>
                          <a:custGeom>
                            <a:avLst/>
                            <a:gdLst/>
                            <a:ahLst/>
                            <a:cxnLst/>
                            <a:rect l="0" t="0" r="0" b="0"/>
                            <a:pathLst>
                              <a:path w="4767580">
                                <a:moveTo>
                                  <a:pt x="0" y="0"/>
                                </a:moveTo>
                                <a:lnTo>
                                  <a:pt x="4767580" y="0"/>
                                </a:lnTo>
                              </a:path>
                            </a:pathLst>
                          </a:custGeom>
                          <a:ln w="3048" cap="rnd">
                            <a:round/>
                          </a:ln>
                        </wps:spPr>
                        <wps:style>
                          <a:lnRef idx="1">
                            <a:srgbClr val="E1E1E1"/>
                          </a:lnRef>
                          <a:fillRef idx="0">
                            <a:srgbClr val="000000">
                              <a:alpha val="0"/>
                            </a:srgbClr>
                          </a:fillRef>
                          <a:effectRef idx="0">
                            <a:scrgbClr r="0" g="0" b="0"/>
                          </a:effectRef>
                          <a:fontRef idx="none"/>
                        </wps:style>
                        <wps:bodyPr/>
                      </wps:wsp>
                      <wps:wsp>
                        <wps:cNvPr id="212" name="Shape 212"/>
                        <wps:cNvSpPr/>
                        <wps:spPr>
                          <a:xfrm>
                            <a:off x="4771390" y="9525"/>
                            <a:ext cx="2540" cy="0"/>
                          </a:xfrm>
                          <a:custGeom>
                            <a:avLst/>
                            <a:gdLst/>
                            <a:ahLst/>
                            <a:cxnLst/>
                            <a:rect l="0" t="0" r="0" b="0"/>
                            <a:pathLst>
                              <a:path w="2540">
                                <a:moveTo>
                                  <a:pt x="0" y="0"/>
                                </a:moveTo>
                                <a:lnTo>
                                  <a:pt x="2540" y="0"/>
                                </a:lnTo>
                              </a:path>
                            </a:pathLst>
                          </a:custGeom>
                          <a:ln w="3048" cap="rnd">
                            <a:round/>
                          </a:ln>
                        </wps:spPr>
                        <wps:style>
                          <a:lnRef idx="1">
                            <a:srgbClr val="E1E1E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7" style="width:375.9pt;height:0.75pt;mso-position-horizontal-relative:char;mso-position-vertical-relative:line" coordsize="47739,95">
                <v:shape id="Shape 202" style="position:absolute;width:47726;height:0;left:0;top:44;" coordsize="4772660,0" path="m0,0l4772660,0">
                  <v:stroke weight="0.95pt" endcap="round" joinstyle="round" on="true" color="#9f9f9f"/>
                  <v:fill on="false" color="#000000" opacity="0"/>
                </v:shape>
                <v:shape id="Shape 203" style="position:absolute;width:31;height:0;left:0;top:0;" coordsize="3175,0" path="m0,0l3175,0">
                  <v:stroke weight="0.24pt" endcap="round" joinstyle="round" on="true" color="#9f9f9f"/>
                  <v:fill on="false" color="#000000" opacity="0"/>
                </v:shape>
                <v:shape id="Shape 204" style="position:absolute;width:47675;height:0;left:31;top:0;" coordsize="4767580,0" path="m0,0l4767580,0">
                  <v:stroke weight="0.24pt" endcap="round" joinstyle="round" on="true" color="#9f9f9f"/>
                  <v:fill on="false" color="#000000" opacity="0"/>
                </v:shape>
                <v:shape id="Shape 205" style="position:absolute;width:25;height:0;left:47713;top:0;" coordsize="2540,0" path="m0,0l2540,0">
                  <v:stroke weight="0.24pt" endcap="round" joinstyle="round" on="true" color="#e1e1e1"/>
                  <v:fill on="false" color="#000000" opacity="0"/>
                </v:shape>
                <v:shape id="Shape 206" style="position:absolute;width:25;height:0;left:47713;top:0;" coordsize="2540,0" path="m0,0l2540,0">
                  <v:stroke weight="0.24pt" endcap="round" joinstyle="round" on="true" color="#9f9f9f"/>
                  <v:fill on="false" color="#000000" opacity="0"/>
                </v:shape>
                <v:shape id="Shape 207" style="position:absolute;width:31;height:0;left:0;top:44;" coordsize="3175,0" path="m0,0l3175,0">
                  <v:stroke weight="0.48pt" endcap="round" joinstyle="round" on="true" color="#9f9f9f"/>
                  <v:fill on="false" color="#000000" opacity="0"/>
                </v:shape>
                <v:shape id="Shape 208" style="position:absolute;width:0;height:57;left:47726;top:12;" coordsize="0,5715" path="m0,0l0,5715">
                  <v:stroke weight="0.2pt" endcap="round" joinstyle="round" on="true" color="#e1e1e1"/>
                  <v:fill on="false" color="#000000" opacity="0"/>
                </v:shape>
                <v:shape id="Shape 209" style="position:absolute;width:31;height:0;left:0;top:95;" coordsize="3175,0" path="m0,0l3175,0">
                  <v:stroke weight="0.24pt" endcap="round" joinstyle="round" on="true" color="#9f9f9f"/>
                  <v:fill on="false" color="#000000" opacity="0"/>
                </v:shape>
                <v:shape id="Shape 210" style="position:absolute;width:31;height:0;left:0;top:95;" coordsize="3175,0" path="m0,0l3175,0">
                  <v:stroke weight="0.24pt" endcap="round" joinstyle="round" on="true" color="#e1e1e1"/>
                  <v:fill on="false" color="#000000" opacity="0"/>
                </v:shape>
                <v:shape id="Shape 211" style="position:absolute;width:47675;height:0;left:31;top:95;" coordsize="4767580,0" path="m0,0l4767580,0">
                  <v:stroke weight="0.24pt" endcap="round" joinstyle="round" on="true" color="#e1e1e1"/>
                  <v:fill on="false" color="#000000" opacity="0"/>
                </v:shape>
                <v:shape id="Shape 212" style="position:absolute;width:25;height:0;left:47713;top:95;" coordsize="2540,0" path="m0,0l2540,0">
                  <v:stroke weight="0.24pt" endcap="round" joinstyle="round" on="true" color="#e1e1e1"/>
                  <v:fill on="false" color="#000000" opacity="0"/>
                </v:shape>
              </v:group>
            </w:pict>
          </mc:Fallback>
        </mc:AlternateContent>
      </w:r>
    </w:p>
    <w:p w:rsidR="002F3C81" w:rsidRDefault="00D5299D">
      <w:pPr>
        <w:spacing w:after="0" w:line="259" w:lineRule="auto"/>
        <w:ind w:left="0" w:firstLine="0"/>
      </w:pPr>
      <w:r>
        <w:rPr>
          <w:b/>
          <w:sz w:val="22"/>
        </w:rPr>
        <w:lastRenderedPageBreak/>
        <w:t xml:space="preserve"> </w:t>
      </w:r>
    </w:p>
    <w:p w:rsidR="002F3C81" w:rsidRDefault="00D5299D">
      <w:pPr>
        <w:spacing w:after="27" w:line="259" w:lineRule="auto"/>
        <w:ind w:left="10" w:hanging="10"/>
      </w:pPr>
      <w:r>
        <w:rPr>
          <w:rFonts w:ascii="Kalinga" w:eastAsia="Kalinga" w:hAnsi="Kalinga" w:cs="Kalinga"/>
          <w:sz w:val="20"/>
        </w:rPr>
        <w:t xml:space="preserve">SECRET CLEARANCE </w:t>
      </w:r>
    </w:p>
    <w:sectPr w:rsidR="002F3C81">
      <w:pgSz w:w="12240" w:h="15840"/>
      <w:pgMar w:top="314" w:right="839" w:bottom="7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Kalinga">
    <w:panose1 w:val="020B0502040204020203"/>
    <w:charset w:val="00"/>
    <w:family w:val="swiss"/>
    <w:pitch w:val="variable"/>
    <w:sig w:usb0="0008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81"/>
    <w:rsid w:val="002F3C81"/>
    <w:rsid w:val="00D5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DE701-9B03-46BD-9AF9-270246C5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37" w:lineRule="auto"/>
      <w:ind w:left="655" w:hanging="281"/>
    </w:pPr>
    <w:rPr>
      <w:rFonts w:ascii="Segoe UI" w:eastAsia="Segoe UI" w:hAnsi="Segoe UI" w:cs="Segoe UI"/>
      <w:color w:val="000000"/>
      <w:sz w:val="18"/>
    </w:rPr>
  </w:style>
  <w:style w:type="paragraph" w:styleId="Heading1">
    <w:name w:val="heading 1"/>
    <w:next w:val="Normal"/>
    <w:link w:val="Heading1Char"/>
    <w:uiPriority w:val="9"/>
    <w:qFormat/>
    <w:pPr>
      <w:keepNext/>
      <w:keepLines/>
      <w:spacing w:after="0"/>
      <w:ind w:left="111" w:hanging="10"/>
      <w:outlineLvl w:val="0"/>
    </w:pPr>
    <w:rPr>
      <w:rFonts w:ascii="Kalinga" w:eastAsia="Kalinga" w:hAnsi="Kalinga" w:cs="Kalinga"/>
      <w:b/>
      <w:color w:val="404040"/>
    </w:rPr>
  </w:style>
  <w:style w:type="paragraph" w:styleId="Heading2">
    <w:name w:val="heading 2"/>
    <w:next w:val="Normal"/>
    <w:link w:val="Heading2Char"/>
    <w:uiPriority w:val="9"/>
    <w:unhideWhenUsed/>
    <w:qFormat/>
    <w:pPr>
      <w:keepNext/>
      <w:keepLines/>
      <w:spacing w:after="0"/>
      <w:ind w:left="384" w:hanging="10"/>
      <w:outlineLvl w:val="1"/>
    </w:pPr>
    <w:rPr>
      <w:rFonts w:ascii="Kalinga" w:eastAsia="Kalinga" w:hAnsi="Kalinga" w:cs="Kalinga"/>
      <w:b/>
      <w:color w:val="17365D"/>
      <w:sz w:val="20"/>
    </w:rPr>
  </w:style>
  <w:style w:type="paragraph" w:styleId="Heading3">
    <w:name w:val="heading 3"/>
    <w:next w:val="Normal"/>
    <w:link w:val="Heading3Char"/>
    <w:uiPriority w:val="9"/>
    <w:unhideWhenUsed/>
    <w:qFormat/>
    <w:pPr>
      <w:keepNext/>
      <w:keepLines/>
      <w:spacing w:after="1" w:line="261" w:lineRule="auto"/>
      <w:ind w:left="2596" w:right="774" w:hanging="680"/>
      <w:outlineLvl w:val="2"/>
    </w:pPr>
    <w:rPr>
      <w:rFonts w:ascii="Kalinga" w:eastAsia="Kalinga" w:hAnsi="Kalinga" w:cs="Kalinga"/>
      <w:b/>
      <w:color w:val="365F9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Kalinga" w:eastAsia="Kalinga" w:hAnsi="Kalinga" w:cs="Kalinga"/>
      <w:b/>
      <w:color w:val="365F91"/>
      <w:sz w:val="18"/>
    </w:rPr>
  </w:style>
  <w:style w:type="character" w:customStyle="1" w:styleId="Heading2Char">
    <w:name w:val="Heading 2 Char"/>
    <w:link w:val="Heading2"/>
    <w:rPr>
      <w:rFonts w:ascii="Kalinga" w:eastAsia="Kalinga" w:hAnsi="Kalinga" w:cs="Kalinga"/>
      <w:b/>
      <w:color w:val="17365D"/>
      <w:sz w:val="20"/>
    </w:rPr>
  </w:style>
  <w:style w:type="character" w:customStyle="1" w:styleId="Heading1Char">
    <w:name w:val="Heading 1 Char"/>
    <w:link w:val="Heading1"/>
    <w:rPr>
      <w:rFonts w:ascii="Kalinga" w:eastAsia="Kalinga" w:hAnsi="Kalinga" w:cs="Kalinga"/>
      <w:b/>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Francisco Levine</dc:creator>
  <cp:keywords/>
  <cp:lastModifiedBy>Stacey Kerschner</cp:lastModifiedBy>
  <cp:revision>2</cp:revision>
  <dcterms:created xsi:type="dcterms:W3CDTF">2019-06-03T13:57:00Z</dcterms:created>
  <dcterms:modified xsi:type="dcterms:W3CDTF">2019-06-03T13:57:00Z</dcterms:modified>
</cp:coreProperties>
</file>