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vertAlign w:val="baseline"/>
          <w:rtl w:val="0"/>
        </w:rPr>
        <w:t xml:space="preserve">Dean R Reeve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vertAlign w:val="baseline"/>
          <w:rtl w:val="0"/>
        </w:rPr>
        <w:t xml:space="preserve">905 2nd Street North West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vertAlign w:val="baseline"/>
          <w:rtl w:val="0"/>
        </w:rPr>
        <w:t xml:space="preserve">New Prague, MN 56071</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vertAlign w:val="baseline"/>
          <w:rtl w:val="0"/>
        </w:rPr>
        <w:t xml:space="preserve">(952) 374-7679</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color w:val="000000"/>
          <w:vertAlign w:val="baseline"/>
          <w:rtl w:val="0"/>
        </w:rPr>
        <w:t xml:space="preserve">d.reeve2447@gmail.com</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Core Strengths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Kitchen Operations, Food and Beverage, Culinary Staff Management, Customer/Public Relations, Quality Control, Innovative Presentations, Vendor Selections, Revenue Management, Contract Negotiations, Planning and Organization, Product Knowledge, HACCP Standards, Team Building and Leadership, Margin Improvement, Business Development, Policies and Procedures, Purchasing, Operational Efficiencies, Cost Analysis, Cost Control and Reduction, Forecasting and analysis, Process/Operations Management, Accounting and Payroll, Asset Protection, Fraud and Cheat Training, Electronic Surveillance, Internal Theft Investigations, Security Reports, Scheduling, CDL B license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EMPLOYMENT</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Milltronics Manufacturing Company</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Inventory Control Planner October 2012 - </w:t>
      </w:r>
      <w:r w:rsidDel="00000000" w:rsidR="00000000" w:rsidRPr="00000000">
        <w:rPr>
          <w:rFonts w:ascii="Arial" w:cs="Arial" w:eastAsia="Arial" w:hAnsi="Arial"/>
          <w:b w:val="1"/>
          <w:rtl w:val="0"/>
        </w:rPr>
        <w:t xml:space="preserve">July, 2015</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Responsible for developing and implementing procedures for both demand management and inventory planning of specific product lines, ensures an adequate supply of product to service production needs while minimizing working inventory investment by assessing demand activity while reflecting demand changes in planning systems to ensure high accuracy of forecast needs and ensure accuracy in inventory records, item usage history, and forecasting files. Responsible for end-to-end planning of inventory from purchase requisition to customer invoice. Develop production and inventory management plans to support projects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Conduct financial risk assessments. Conduct root case analysis when necessary</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Support internal customer service inquiries. Identify current and potential product shortages, develop and execute recovery, advise interested parties of status and recovery plans.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Maintain and update master files. Reflect changes in inventory level forecasts. Coordinate inventory level unit forecasts with agreed to revenue expectations. Achieve operating plans and inventory goals. Provide reports and requested information to management as needed. Develop systems and procedures required to meet service and inventory turn objectives.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Canterbury Park, Shakopee, MN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Surveillance Shift Manager/Tech, Aug. 2005 - Nov. 2010</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Insure security of company assets, the safety of team members and guests and the integrity of the gaming floor and track areas. Provide coverage of emergencies when needed.  Experience with CCTV and various controlled surveillance equipment, gaming law enforcement and experienced with a 24-hour gaming facility. Install video equipment, test, repair cctv hardware and software, network based surveillance equipment and Low-voltage wiring.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City Perks Coffee House and Cafe., Prior Lake, MN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Owner / General Manager, Oct. 1999 - Dec. 2009</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Managed all aspects (business, financial, and operation) of a small business.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Handled and accounted for all cash handling, balancing, and reporting. Recruited, trained, and supervised staff. Selected, purchased, priced, merchandised, maintained inventory/and reporting of goods sold in store. Provided total staff administration including establishing/maintaining appropriate pay scales and employee benefits. Supervised a major change in credit card handling and overall related systems. Worked closely with the general public, varied product vendors, and other outside services pertaining to business. Design P&amp;L initiatives to increase sales and minimize expenses. Initiated substantial cost-saving initiatives in the areas of supplies, payroll, etc. Conduct market analysis to identify opportunities to expand predominant customer base and provide affordable products. Analyze sales data and inventories to plan promotions and make adjustments. Coordinate in-store promotional activities and off-site special events. Establish trust and promote repeat business. Conscientiously perform data collection/analysis to prepare numerous end-of-month reports (e.g., productivity updates, customer requests/orders, employment, etc.). Trace variety of data to forecast buying trends. Analyze competition, market positions, product lines and service levels. Forecast demand patterns and revisions where necessary to maintain inventory control. Spearheaded new business by marketing in store in conjunction with advertising campaign that includes local businesses. Boosted operating efficiency, productivity and performance: Created Mail and email customer lists to cost-effectively distribute product information and announce upcoming sales. Restructured inventory system (stock levels and displays) resulting in substantial reduction in annual fiscal inventory from retail division average. Trained staff in new programs, policies, computer updates and product information. Recruited applicants for positions providing inventory control, customer service, and shipping/receiving.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Little Six inc Prior Lake, MN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Security/Surveillance, 1997 -  2006</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Insure security of company assets, the safety of team members and guests and the integrity of the gaming floor. Provide coverage of emergencies when needed.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Experience with CCTV and various controlled surveillance equipment, gaming law enforcement and experienced with a 24-hour gaming facility</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Harboridge (America Live)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000000"/>
          <w:vertAlign w:val="baseline"/>
          <w:rtl w:val="0"/>
        </w:rPr>
        <w:t xml:space="preserve">Sous Chef / Kitchen Manager, 1989 -  1997</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Responsible for the daily operations of the kitchen, and provides professional leadership and direction to kitchen personnel. Ensures that all recipes, food preparations, and presentations meet restaurant's specifications and commitment to quality. Maintains a safe, orderly and sanitized kitchen. Demonstrates this by example, using proper food-handling techniques.</w:t>
      </w:r>
      <w:r w:rsidDel="00000000" w:rsidR="00000000" w:rsidRPr="00000000">
        <w:rPr>
          <w:rtl w:val="0"/>
        </w:rPr>
      </w:r>
    </w:p>
    <w:sectPr>
      <w:pgSz w:h="15840" w:w="12240"/>
      <w:pgMar w:bottom="671" w:top="413" w:left="1134"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