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Carlos Avery.</w:t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1528 n kilpatrick Chicago IL 60651</w:t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 cell phone (773) 885 0252</w:t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realrellyg@yahoo.com</w:t>
        <w:tab/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OBJECTIVE;</w:t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I am diligent, dedicated, and a productive employee.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4"/>
          <w:shd w:fill="auto" w:val="clear"/>
        </w:rPr>
        <w:t xml:space="preserve"> My objective is to work for a corporation which requires integrity and high ethical standards from their employees. i aspire to provide the up most and highest standard of quality and service behalf of my employer. I strive to allways be on time. </w:t>
      </w:r>
    </w:p>
    <w:p>
      <w:pPr>
        <w:keepNext w:val="true"/>
        <w:keepLines w:val="true"/>
        <w:spacing w:before="400" w:after="2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8"/>
          <w:shd w:fill="auto" w:val="clear"/>
        </w:rPr>
        <w:t xml:space="preserve">Experience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2012 to 2014      Jewel Distribution Center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Assembler/Order picker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Order picking in the freezer -12 callin out the check digits using vocal system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Order picking on the fresh food side calling out check digit using vocal system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tabs>
          <w:tab w:val="right" w:pos="10080" w:leader="none"/>
        </w:tabs>
        <w:spacing w:before="200" w:after="10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0"/>
          <w:shd w:fill="auto" w:val="clear"/>
        </w:rPr>
        <w:t xml:space="preserve">2007  to 2012         UPS           Elk grove village,Il</w:t>
        <w:tab/>
        <w:tab/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Dockworker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Verifying and transport pallets to assigned locations in the warehouse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Prepare warehouse inventory for transport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Receive shipments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Document pallets and record by invoice numbers.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Load,unload trucks w/sitdown forklift truck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Break down PMC’s put frieght away in warehouse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Tie up PMC’s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Prepare PMC’s for out bound  trucks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Weight pallets,PMC’s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2005 to 2007            Power Packaging INC.      Batavia, Il.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Forklift Operator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Control and work to drive industry forklifts to transfer materials between unloading, processing, loading, and planned storage areas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Organize and secure stored materials such as bales, super sacks, boxes, and pallets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Load and  unload materials manually off or on to pallets, platforms, skids, or lifting devises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Performing routine post and pre inspections to ensure suitable working nature or forklift equipment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Report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1j h+-66 to supervisor regarding any damage to racks, faulty equipment, or any other safety hazard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Weigh products or materials, and record weight and further production information on labels and tags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Consult, work, and coordinate with supervisors, managers, equipment manufacturers, and employees regarding unloading and loading operations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Wrap material loads with a wrapper and clean the warehouse premises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Perform additional duties as allotted by a manager or supervisor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2004 to 2005          Target               Chicago, Il.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Overnight Stocker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Unload truck physically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Stock sales floor neatly and quickly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Help teammates with organization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Team lead backroom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2003 to 2005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Assistant Counselor            Better Life For Youth       Chicago, Il.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Help youth with school work or subjects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Assist with ideas and activities for youth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Maintain clean and safe environment for the youth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Make sure youth is being assisted to the fullest with any issues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1999 to 2003  Orr High school           Chicago, Il.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High School Diploma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Honors Student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Attendance and Safety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References :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junior gomez (forklift driver) -(773)732-0005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brenda rodriguez (psychologist)-(773)580-0594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-540" w:firstLine="54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heather fosnight (coroner)-(757)-738-5142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